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49763B23"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1E147E">
        <w:rPr>
          <w:rFonts w:eastAsia="Times New Roman"/>
          <w:b/>
          <w:noProof/>
          <w:sz w:val="24"/>
        </w:rPr>
        <w:t>8</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AF5F7E">
        <w:rPr>
          <w:rFonts w:eastAsia="Times New Roman"/>
          <w:b/>
          <w:noProof/>
          <w:sz w:val="24"/>
        </w:rPr>
        <w:t>102420</w:t>
      </w:r>
    </w:p>
    <w:p w14:paraId="015AD352" w14:textId="41D729B5"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 xml:space="preserve">Online, </w:t>
      </w:r>
      <w:r w:rsidR="00ED4C83">
        <w:rPr>
          <w:rFonts w:eastAsia="SimSun"/>
          <w:bCs w:val="0"/>
          <w:sz w:val="24"/>
          <w:lang w:eastAsia="zh-CN"/>
        </w:rPr>
        <w:t>25 Jan</w:t>
      </w:r>
      <w:r w:rsidR="00260FA5">
        <w:rPr>
          <w:rFonts w:eastAsia="SimSun"/>
          <w:bCs w:val="0"/>
          <w:sz w:val="24"/>
          <w:lang w:eastAsia="zh-CN"/>
        </w:rPr>
        <w:t xml:space="preserve"> – </w:t>
      </w:r>
      <w:r w:rsidR="00ED4C83">
        <w:rPr>
          <w:rFonts w:eastAsia="SimSun"/>
          <w:bCs w:val="0"/>
          <w:sz w:val="24"/>
          <w:lang w:eastAsia="zh-CN"/>
        </w:rPr>
        <w:t>5</w:t>
      </w:r>
      <w:r w:rsidR="00260FA5">
        <w:rPr>
          <w:rFonts w:eastAsia="SimSun"/>
          <w:bCs w:val="0"/>
          <w:sz w:val="24"/>
          <w:lang w:eastAsia="zh-CN"/>
        </w:rPr>
        <w:t xml:space="preserve"> </w:t>
      </w:r>
      <w:r w:rsidR="00ED4C83">
        <w:rPr>
          <w:rFonts w:eastAsia="SimSun"/>
          <w:bCs w:val="0"/>
          <w:sz w:val="24"/>
          <w:lang w:eastAsia="zh-CN"/>
        </w:rPr>
        <w:t>Feb</w:t>
      </w:r>
      <w:r w:rsidR="00F21F81" w:rsidRPr="009F4EEE">
        <w:rPr>
          <w:rFonts w:eastAsia="SimSun"/>
          <w:bCs w:val="0"/>
          <w:sz w:val="24"/>
          <w:lang w:eastAsia="zh-CN"/>
        </w:rPr>
        <w:t xml:space="preserve"> 20</w:t>
      </w:r>
      <w:bookmarkEnd w:id="2"/>
      <w:bookmarkEnd w:id="3"/>
      <w:r w:rsidR="00F21F81">
        <w:rPr>
          <w:rFonts w:eastAsia="SimSun"/>
          <w:bCs w:val="0"/>
          <w:sz w:val="24"/>
          <w:lang w:eastAsia="zh-CN"/>
        </w:rPr>
        <w:t>2</w:t>
      </w:r>
      <w:r w:rsidR="00ED4C83">
        <w:rPr>
          <w:rFonts w:eastAsia="SimSun"/>
          <w:bCs w:val="0"/>
          <w:sz w:val="24"/>
          <w:lang w:eastAsia="zh-CN"/>
        </w:rPr>
        <w:t>1</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6ED73A3" w14:textId="1F0F0145" w:rsidR="000245B9" w:rsidRDefault="00D64225" w:rsidP="000245B9">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45B9">
        <w:rPr>
          <w:rFonts w:ascii="Arial" w:hAnsi="Arial" w:cs="Arial"/>
          <w:sz w:val="22"/>
        </w:rPr>
        <w:t xml:space="preserve">IAB conformance </w:t>
      </w:r>
      <w:r w:rsidR="005602A1">
        <w:rPr>
          <w:rFonts w:ascii="Arial" w:hAnsi="Arial" w:cs="Arial"/>
          <w:sz w:val="22"/>
        </w:rPr>
        <w:t>test burden</w:t>
      </w:r>
    </w:p>
    <w:p w14:paraId="3ACA12DB" w14:textId="3FEAB8D6" w:rsidR="00D64225" w:rsidRPr="001E147E" w:rsidRDefault="00D64225" w:rsidP="001E147E">
      <w:pPr>
        <w:ind w:left="1985" w:hanging="1985"/>
        <w:rPr>
          <w:rFonts w:ascii="Arial" w:hAnsi="Arial" w:cs="Arial"/>
          <w:sz w:val="22"/>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E147E">
        <w:rPr>
          <w:rFonts w:ascii="Arial" w:hAnsi="Arial" w:cs="Arial"/>
          <w:sz w:val="22"/>
        </w:rPr>
        <w:t>7.4.3.4</w:t>
      </w:r>
      <w:r w:rsidR="00ED4C83">
        <w:rPr>
          <w:rFonts w:ascii="Arial" w:hAnsi="Arial" w:cs="Arial"/>
          <w:sz w:val="22"/>
        </w:rPr>
        <w:t>.</w:t>
      </w:r>
    </w:p>
    <w:p w14:paraId="754225A9" w14:textId="1568A2E3"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D3E1D">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5D206841" w14:textId="52946181" w:rsidR="00ED4C83" w:rsidRDefault="00960786" w:rsidP="00A31E0C">
      <w:r>
        <w:t>In the last meeting the IAB conformance testing specification were discussed for the 1</w:t>
      </w:r>
      <w:r w:rsidRPr="00960786">
        <w:rPr>
          <w:vertAlign w:val="superscript"/>
        </w:rPr>
        <w:t>st</w:t>
      </w:r>
      <w:r w:rsidR="00754776">
        <w:t xml:space="preserve"> tim</w:t>
      </w:r>
      <w:r>
        <w:t xml:space="preserve">e. The top level specification structure was agreed in [1] and there </w:t>
      </w:r>
      <w:r w:rsidR="00754776">
        <w:t>are a number of</w:t>
      </w:r>
      <w:r>
        <w:t xml:space="preserve"> open issues regarding testing at a high level in [2]. These issue are further discussed in this paper.</w:t>
      </w:r>
    </w:p>
    <w:p w14:paraId="71BC4139" w14:textId="62A92B2D" w:rsidR="00754776" w:rsidRDefault="00754776" w:rsidP="00A31E0C">
      <w:r>
        <w:t>One of the main issues identified n [2] is the test burden and number of test points, th</w:t>
      </w:r>
      <w:r w:rsidR="005602A1">
        <w:t>e issue is</w:t>
      </w:r>
      <w:r>
        <w:t xml:space="preserve"> captured as follows:</w:t>
      </w:r>
    </w:p>
    <w:p w14:paraId="18B5658F" w14:textId="77777777" w:rsidR="00754776" w:rsidRDefault="00754776" w:rsidP="00754776">
      <w:pPr>
        <w:rPr>
          <w:b/>
          <w:bCs/>
          <w:u w:val="single"/>
        </w:rPr>
      </w:pPr>
      <w:r>
        <w:rPr>
          <w:b/>
          <w:bCs/>
          <w:u w:val="single"/>
        </w:rPr>
        <w:t>Test burden and test coverage analysis</w:t>
      </w:r>
    </w:p>
    <w:p w14:paraId="0205EF80" w14:textId="1AFE5E51" w:rsidR="00754776" w:rsidRPr="00754776" w:rsidRDefault="00754776" w:rsidP="00754776">
      <w:r>
        <w:t xml:space="preserve">- </w:t>
      </w:r>
      <w:r w:rsidRPr="00781689">
        <w:t xml:space="preserve">Possible reduction of tests will be further </w:t>
      </w:r>
      <w:r w:rsidR="00AF5F7E" w:rsidRPr="00781689">
        <w:t>analysed</w:t>
      </w:r>
      <w:r w:rsidRPr="00781689">
        <w:t xml:space="preserve"> taking into account test coverage for both </w:t>
      </w:r>
      <w:r>
        <w:t>IAB-DU and IAB-MT an</w:t>
      </w:r>
      <w:r w:rsidRPr="00754776">
        <w:t xml:space="preserve">d for both conducted and radiated testing. Aspects to be </w:t>
      </w:r>
      <w:r w:rsidR="00AF5F7E" w:rsidRPr="00754776">
        <w:t>analysed</w:t>
      </w:r>
      <w:bookmarkStart w:id="4" w:name="_GoBack"/>
      <w:bookmarkEnd w:id="4"/>
      <w:r w:rsidRPr="00754776">
        <w:t xml:space="preserve"> include but are not limited to</w:t>
      </w:r>
    </w:p>
    <w:p w14:paraId="38C1BF18" w14:textId="77777777" w:rsidR="00754776" w:rsidRPr="00754776" w:rsidRDefault="00754776" w:rsidP="00754776">
      <w:pPr>
        <w:pStyle w:val="ListParagraph"/>
        <w:numPr>
          <w:ilvl w:val="0"/>
          <w:numId w:val="8"/>
        </w:numPr>
        <w:overflowPunct w:val="0"/>
        <w:autoSpaceDE w:val="0"/>
        <w:autoSpaceDN w:val="0"/>
        <w:adjustRightInd w:val="0"/>
        <w:spacing w:after="180"/>
        <w:textAlignment w:val="baseline"/>
        <w:rPr>
          <w:rFonts w:ascii="Times New Roman" w:hAnsi="Times New Roman" w:cs="Times New Roman"/>
          <w:sz w:val="20"/>
          <w:szCs w:val="20"/>
        </w:rPr>
      </w:pPr>
      <w:r w:rsidRPr="00754776">
        <w:rPr>
          <w:rFonts w:ascii="Times New Roman" w:hAnsi="Times New Roman" w:cs="Times New Roman"/>
          <w:sz w:val="20"/>
          <w:szCs w:val="20"/>
        </w:rPr>
        <w:t>RF channels</w:t>
      </w:r>
    </w:p>
    <w:p w14:paraId="7BCCBB08" w14:textId="77777777" w:rsidR="00754776" w:rsidRPr="00754776" w:rsidRDefault="00754776" w:rsidP="00754776">
      <w:pPr>
        <w:pStyle w:val="ListParagraph"/>
        <w:numPr>
          <w:ilvl w:val="0"/>
          <w:numId w:val="8"/>
        </w:numPr>
        <w:overflowPunct w:val="0"/>
        <w:autoSpaceDE w:val="0"/>
        <w:autoSpaceDN w:val="0"/>
        <w:adjustRightInd w:val="0"/>
        <w:spacing w:after="180"/>
        <w:textAlignment w:val="baseline"/>
        <w:rPr>
          <w:rFonts w:ascii="Times New Roman" w:hAnsi="Times New Roman" w:cs="Times New Roman"/>
          <w:sz w:val="20"/>
          <w:szCs w:val="20"/>
        </w:rPr>
      </w:pPr>
      <w:r w:rsidRPr="00754776">
        <w:rPr>
          <w:rFonts w:ascii="Times New Roman" w:hAnsi="Times New Roman" w:cs="Times New Roman"/>
          <w:sz w:val="20"/>
          <w:szCs w:val="20"/>
        </w:rPr>
        <w:t>Test directions</w:t>
      </w:r>
    </w:p>
    <w:p w14:paraId="78302567" w14:textId="77777777" w:rsidR="00754776" w:rsidRPr="00754776" w:rsidRDefault="00754776" w:rsidP="00754776">
      <w:pPr>
        <w:pStyle w:val="ListParagraph"/>
        <w:numPr>
          <w:ilvl w:val="0"/>
          <w:numId w:val="8"/>
        </w:numPr>
        <w:overflowPunct w:val="0"/>
        <w:autoSpaceDE w:val="0"/>
        <w:autoSpaceDN w:val="0"/>
        <w:adjustRightInd w:val="0"/>
        <w:spacing w:after="180"/>
        <w:textAlignment w:val="baseline"/>
        <w:rPr>
          <w:rFonts w:ascii="Times New Roman" w:hAnsi="Times New Roman" w:cs="Times New Roman"/>
          <w:sz w:val="20"/>
          <w:szCs w:val="20"/>
        </w:rPr>
      </w:pPr>
      <w:r w:rsidRPr="00754776">
        <w:rPr>
          <w:rFonts w:ascii="Times New Roman" w:hAnsi="Times New Roman" w:cs="Times New Roman"/>
          <w:sz w:val="20"/>
          <w:szCs w:val="20"/>
        </w:rPr>
        <w:t>Shared vs. separated RF architecture</w:t>
      </w:r>
    </w:p>
    <w:p w14:paraId="6A17D83A" w14:textId="77777777" w:rsidR="00754776" w:rsidRPr="00754776" w:rsidRDefault="00754776" w:rsidP="00754776">
      <w:pPr>
        <w:pStyle w:val="ListParagraph"/>
        <w:numPr>
          <w:ilvl w:val="1"/>
          <w:numId w:val="8"/>
        </w:numPr>
        <w:overflowPunct w:val="0"/>
        <w:autoSpaceDE w:val="0"/>
        <w:autoSpaceDN w:val="0"/>
        <w:adjustRightInd w:val="0"/>
        <w:spacing w:after="180"/>
        <w:textAlignment w:val="baseline"/>
        <w:rPr>
          <w:rFonts w:ascii="Times New Roman" w:hAnsi="Times New Roman" w:cs="Times New Roman"/>
          <w:sz w:val="20"/>
          <w:szCs w:val="20"/>
        </w:rPr>
      </w:pPr>
      <w:r w:rsidRPr="00754776">
        <w:rPr>
          <w:rFonts w:ascii="Times New Roman" w:hAnsi="Times New Roman" w:cs="Times New Roman"/>
          <w:sz w:val="20"/>
          <w:szCs w:val="20"/>
        </w:rPr>
        <w:t>Is this declared</w:t>
      </w:r>
    </w:p>
    <w:p w14:paraId="2FCF13FF" w14:textId="77777777" w:rsidR="00754776" w:rsidRPr="00754776" w:rsidRDefault="00754776" w:rsidP="00754776">
      <w:pPr>
        <w:pStyle w:val="ListParagraph"/>
        <w:numPr>
          <w:ilvl w:val="1"/>
          <w:numId w:val="8"/>
        </w:numPr>
        <w:overflowPunct w:val="0"/>
        <w:autoSpaceDE w:val="0"/>
        <w:autoSpaceDN w:val="0"/>
        <w:adjustRightInd w:val="0"/>
        <w:spacing w:after="180"/>
        <w:textAlignment w:val="baseline"/>
        <w:rPr>
          <w:rFonts w:ascii="Times New Roman" w:hAnsi="Times New Roman" w:cs="Times New Roman"/>
          <w:sz w:val="20"/>
          <w:szCs w:val="20"/>
        </w:rPr>
      </w:pPr>
      <w:r w:rsidRPr="00754776">
        <w:rPr>
          <w:rFonts w:ascii="Times New Roman" w:hAnsi="Times New Roman" w:cs="Times New Roman"/>
          <w:sz w:val="20"/>
          <w:szCs w:val="20"/>
        </w:rPr>
        <w:t>Testing only more demanding requirement for shared architecture</w:t>
      </w:r>
    </w:p>
    <w:p w14:paraId="1C0B23F0" w14:textId="77777777" w:rsidR="00754776" w:rsidRDefault="00754776" w:rsidP="00A31E0C"/>
    <w:p w14:paraId="1FBA6954" w14:textId="6BBF8F3C" w:rsidR="00010276" w:rsidRDefault="00010276" w:rsidP="00010276">
      <w:pPr>
        <w:pStyle w:val="Heading1"/>
        <w:numPr>
          <w:ilvl w:val="0"/>
          <w:numId w:val="1"/>
        </w:numPr>
        <w:rPr>
          <w:rFonts w:eastAsia="SimSun"/>
        </w:rPr>
      </w:pPr>
      <w:r>
        <w:rPr>
          <w:rFonts w:eastAsia="SimSun"/>
        </w:rPr>
        <w:t>Discussion</w:t>
      </w:r>
    </w:p>
    <w:p w14:paraId="3DE6B292" w14:textId="5F46AFCA" w:rsidR="007F1CE7" w:rsidRPr="007F1CE7" w:rsidRDefault="007F1CE7" w:rsidP="007F1CE7">
      <w:pPr>
        <w:pStyle w:val="Heading2"/>
      </w:pPr>
      <w:r>
        <w:rPr>
          <w:rFonts w:hint="eastAsia"/>
        </w:rPr>
        <w:t>2.1</w:t>
      </w:r>
      <w:r>
        <w:rPr>
          <w:rFonts w:hint="eastAsia"/>
        </w:rPr>
        <w:tab/>
      </w:r>
      <w:r>
        <w:t>RF channels and test directions</w:t>
      </w:r>
    </w:p>
    <w:p w14:paraId="252407BD" w14:textId="3FA4E844" w:rsidR="007D453A" w:rsidRDefault="00297F52" w:rsidP="00E21E55">
      <w:r>
        <w:t>In terms of the IAB-DU and the BS test specifications the following channels and directions are tested:</w:t>
      </w:r>
    </w:p>
    <w:p w14:paraId="37D13D08" w14:textId="35D2CAF3" w:rsidR="001044EF" w:rsidRDefault="007F1CE7" w:rsidP="007F1CE7">
      <w:pPr>
        <w:pStyle w:val="Heading3"/>
      </w:pPr>
      <w:r>
        <w:t>2.1.1</w:t>
      </w:r>
      <w:r>
        <w:tab/>
      </w:r>
      <w:r w:rsidR="001044EF">
        <w:t>Transmitter</w:t>
      </w:r>
    </w:p>
    <w:p w14:paraId="25AF40A1" w14:textId="218F5122" w:rsidR="001044EF" w:rsidRPr="001044EF" w:rsidRDefault="001044EF" w:rsidP="001044EF">
      <w:r>
        <w:rPr>
          <w:rFonts w:hint="eastAsia"/>
        </w:rPr>
        <w:t>T</w:t>
      </w:r>
      <w:r>
        <w:t>he following test cases are used for the transmitter requirements (from 38.141-2):</w:t>
      </w:r>
    </w:p>
    <w:p w14:paraId="61AEA977" w14:textId="72C09BB3" w:rsidR="00297F52" w:rsidRDefault="00297F52" w:rsidP="00297F52">
      <w:pPr>
        <w:pStyle w:val="TH"/>
      </w:pPr>
      <w:r>
        <w:t>Table 2</w:t>
      </w:r>
      <w:r w:rsidR="001044EF">
        <w:t>.1</w:t>
      </w:r>
      <w:r w:rsidR="007F1CE7">
        <w:t>.1</w:t>
      </w:r>
      <w:r>
        <w:t>-1: NR BS OTA transmitter test cases</w:t>
      </w:r>
    </w:p>
    <w:tbl>
      <w:tblPr>
        <w:tblW w:w="9356" w:type="dxa"/>
        <w:tblInd w:w="-5" w:type="dxa"/>
        <w:tblLook w:val="04A0" w:firstRow="1" w:lastRow="0" w:firstColumn="1" w:lastColumn="0" w:noHBand="0" w:noVBand="1"/>
      </w:tblPr>
      <w:tblGrid>
        <w:gridCol w:w="3600"/>
        <w:gridCol w:w="511"/>
        <w:gridCol w:w="528"/>
        <w:gridCol w:w="516"/>
        <w:gridCol w:w="1106"/>
        <w:gridCol w:w="1339"/>
        <w:gridCol w:w="1756"/>
      </w:tblGrid>
      <w:tr w:rsidR="00297F52" w:rsidRPr="00297F52" w14:paraId="458BF0D7" w14:textId="77777777" w:rsidTr="00297F52">
        <w:trPr>
          <w:trHeight w:val="255"/>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B5BA7"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55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88153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Channels</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6AA1FEFF"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Directions</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63C062B0"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Environment</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14:paraId="6696E2E9"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Notes</w:t>
            </w:r>
          </w:p>
        </w:tc>
      </w:tr>
      <w:tr w:rsidR="00297F52" w:rsidRPr="00297F52" w14:paraId="5CC3FC9E"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4A34D09"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511" w:type="dxa"/>
            <w:tcBorders>
              <w:top w:val="nil"/>
              <w:left w:val="nil"/>
              <w:bottom w:val="single" w:sz="4" w:space="0" w:color="auto"/>
              <w:right w:val="single" w:sz="4" w:space="0" w:color="auto"/>
            </w:tcBorders>
            <w:shd w:val="clear" w:color="auto" w:fill="auto"/>
            <w:noWrap/>
            <w:vAlign w:val="center"/>
            <w:hideMark/>
          </w:tcPr>
          <w:p w14:paraId="27CF1F7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SC</w:t>
            </w:r>
          </w:p>
        </w:tc>
        <w:tc>
          <w:tcPr>
            <w:tcW w:w="528" w:type="dxa"/>
            <w:tcBorders>
              <w:top w:val="nil"/>
              <w:left w:val="nil"/>
              <w:bottom w:val="single" w:sz="4" w:space="0" w:color="auto"/>
              <w:right w:val="single" w:sz="4" w:space="0" w:color="auto"/>
            </w:tcBorders>
            <w:shd w:val="clear" w:color="auto" w:fill="auto"/>
            <w:noWrap/>
            <w:vAlign w:val="center"/>
            <w:hideMark/>
          </w:tcPr>
          <w:p w14:paraId="4FF635B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MC</w:t>
            </w:r>
          </w:p>
        </w:tc>
        <w:tc>
          <w:tcPr>
            <w:tcW w:w="516" w:type="dxa"/>
            <w:tcBorders>
              <w:top w:val="nil"/>
              <w:left w:val="nil"/>
              <w:bottom w:val="single" w:sz="4" w:space="0" w:color="auto"/>
              <w:right w:val="single" w:sz="4" w:space="0" w:color="auto"/>
            </w:tcBorders>
            <w:shd w:val="clear" w:color="auto" w:fill="auto"/>
            <w:noWrap/>
            <w:vAlign w:val="center"/>
            <w:hideMark/>
          </w:tcPr>
          <w:p w14:paraId="3376F35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MB</w:t>
            </w:r>
          </w:p>
        </w:tc>
        <w:tc>
          <w:tcPr>
            <w:tcW w:w="1106" w:type="dxa"/>
            <w:tcBorders>
              <w:top w:val="nil"/>
              <w:left w:val="nil"/>
              <w:bottom w:val="single" w:sz="4" w:space="0" w:color="auto"/>
              <w:right w:val="single" w:sz="4" w:space="0" w:color="auto"/>
            </w:tcBorders>
            <w:shd w:val="clear" w:color="auto" w:fill="auto"/>
            <w:noWrap/>
            <w:vAlign w:val="center"/>
            <w:hideMark/>
          </w:tcPr>
          <w:p w14:paraId="756205E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339" w:type="dxa"/>
            <w:tcBorders>
              <w:top w:val="nil"/>
              <w:left w:val="nil"/>
              <w:bottom w:val="single" w:sz="4" w:space="0" w:color="auto"/>
              <w:right w:val="single" w:sz="4" w:space="0" w:color="auto"/>
            </w:tcBorders>
            <w:shd w:val="clear" w:color="auto" w:fill="auto"/>
            <w:noWrap/>
            <w:vAlign w:val="center"/>
            <w:hideMark/>
          </w:tcPr>
          <w:p w14:paraId="4C88683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756" w:type="dxa"/>
            <w:tcBorders>
              <w:top w:val="nil"/>
              <w:left w:val="nil"/>
              <w:bottom w:val="single" w:sz="4" w:space="0" w:color="auto"/>
              <w:right w:val="single" w:sz="4" w:space="0" w:color="auto"/>
            </w:tcBorders>
            <w:shd w:val="clear" w:color="auto" w:fill="auto"/>
            <w:noWrap/>
            <w:vAlign w:val="center"/>
            <w:hideMark/>
          </w:tcPr>
          <w:p w14:paraId="28122FE4"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5469B952"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5BF1B7A"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6.2 Radiated transmit power</w:t>
            </w:r>
          </w:p>
        </w:tc>
        <w:tc>
          <w:tcPr>
            <w:tcW w:w="511" w:type="dxa"/>
            <w:tcBorders>
              <w:top w:val="nil"/>
              <w:left w:val="nil"/>
              <w:bottom w:val="single" w:sz="4" w:space="0" w:color="auto"/>
              <w:right w:val="single" w:sz="4" w:space="0" w:color="auto"/>
            </w:tcBorders>
            <w:shd w:val="clear" w:color="auto" w:fill="auto"/>
            <w:noWrap/>
            <w:vAlign w:val="center"/>
            <w:hideMark/>
          </w:tcPr>
          <w:p w14:paraId="6F8E0E9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28" w:type="dxa"/>
            <w:tcBorders>
              <w:top w:val="nil"/>
              <w:left w:val="nil"/>
              <w:bottom w:val="single" w:sz="4" w:space="0" w:color="auto"/>
              <w:right w:val="single" w:sz="4" w:space="0" w:color="auto"/>
            </w:tcBorders>
            <w:shd w:val="clear" w:color="auto" w:fill="auto"/>
            <w:noWrap/>
            <w:vAlign w:val="center"/>
            <w:hideMark/>
          </w:tcPr>
          <w:p w14:paraId="37D330B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16" w:type="dxa"/>
            <w:tcBorders>
              <w:top w:val="nil"/>
              <w:left w:val="nil"/>
              <w:bottom w:val="single" w:sz="4" w:space="0" w:color="auto"/>
              <w:right w:val="single" w:sz="4" w:space="0" w:color="auto"/>
            </w:tcBorders>
            <w:shd w:val="clear" w:color="auto" w:fill="auto"/>
            <w:noWrap/>
            <w:vAlign w:val="center"/>
            <w:hideMark/>
          </w:tcPr>
          <w:p w14:paraId="3C01BA2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294FF8F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highlight w:val="yellow"/>
                <w:lang w:val="en-US" w:eastAsia="zh-CN"/>
              </w:rPr>
              <w:t>5</w:t>
            </w:r>
          </w:p>
        </w:tc>
        <w:tc>
          <w:tcPr>
            <w:tcW w:w="1339" w:type="dxa"/>
            <w:tcBorders>
              <w:top w:val="nil"/>
              <w:left w:val="nil"/>
              <w:bottom w:val="single" w:sz="4" w:space="0" w:color="auto"/>
              <w:right w:val="single" w:sz="4" w:space="0" w:color="auto"/>
            </w:tcBorders>
            <w:shd w:val="clear" w:color="auto" w:fill="auto"/>
            <w:noWrap/>
            <w:vAlign w:val="center"/>
            <w:hideMark/>
          </w:tcPr>
          <w:p w14:paraId="7C0EBA1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756" w:type="dxa"/>
            <w:tcBorders>
              <w:top w:val="nil"/>
              <w:left w:val="nil"/>
              <w:bottom w:val="single" w:sz="4" w:space="0" w:color="auto"/>
              <w:right w:val="single" w:sz="4" w:space="0" w:color="auto"/>
            </w:tcBorders>
            <w:shd w:val="clear" w:color="auto" w:fill="auto"/>
            <w:noWrap/>
            <w:vAlign w:val="center"/>
            <w:hideMark/>
          </w:tcPr>
          <w:p w14:paraId="5C055A6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51B98D7D"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F75674"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6.3 OTA base station output power</w:t>
            </w:r>
          </w:p>
        </w:tc>
        <w:tc>
          <w:tcPr>
            <w:tcW w:w="511" w:type="dxa"/>
            <w:tcBorders>
              <w:top w:val="nil"/>
              <w:left w:val="nil"/>
              <w:bottom w:val="single" w:sz="4" w:space="0" w:color="auto"/>
              <w:right w:val="single" w:sz="4" w:space="0" w:color="auto"/>
            </w:tcBorders>
            <w:shd w:val="clear" w:color="auto" w:fill="auto"/>
            <w:noWrap/>
            <w:vAlign w:val="center"/>
            <w:hideMark/>
          </w:tcPr>
          <w:p w14:paraId="09BC8DE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28" w:type="dxa"/>
            <w:tcBorders>
              <w:top w:val="nil"/>
              <w:left w:val="nil"/>
              <w:bottom w:val="single" w:sz="4" w:space="0" w:color="auto"/>
              <w:right w:val="single" w:sz="4" w:space="0" w:color="auto"/>
            </w:tcBorders>
            <w:shd w:val="clear" w:color="auto" w:fill="auto"/>
            <w:noWrap/>
            <w:vAlign w:val="center"/>
            <w:hideMark/>
          </w:tcPr>
          <w:p w14:paraId="219D018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16" w:type="dxa"/>
            <w:tcBorders>
              <w:top w:val="nil"/>
              <w:left w:val="nil"/>
              <w:bottom w:val="single" w:sz="4" w:space="0" w:color="auto"/>
              <w:right w:val="single" w:sz="4" w:space="0" w:color="auto"/>
            </w:tcBorders>
            <w:shd w:val="clear" w:color="auto" w:fill="auto"/>
            <w:noWrap/>
            <w:vAlign w:val="center"/>
            <w:hideMark/>
          </w:tcPr>
          <w:p w14:paraId="1F5088B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6F9A755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1393F9F9"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EE99302"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TRP</w:t>
            </w:r>
          </w:p>
        </w:tc>
      </w:tr>
      <w:tr w:rsidR="00297F52" w:rsidRPr="00297F52" w14:paraId="113B3ED2" w14:textId="77777777" w:rsidTr="00297F52">
        <w:trPr>
          <w:trHeight w:val="51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675E57A"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6.4.2 OTA RE power control dynamic range</w:t>
            </w:r>
          </w:p>
        </w:tc>
        <w:tc>
          <w:tcPr>
            <w:tcW w:w="511" w:type="dxa"/>
            <w:tcBorders>
              <w:top w:val="nil"/>
              <w:left w:val="nil"/>
              <w:bottom w:val="single" w:sz="4" w:space="0" w:color="auto"/>
              <w:right w:val="single" w:sz="4" w:space="0" w:color="auto"/>
            </w:tcBorders>
            <w:shd w:val="clear" w:color="auto" w:fill="auto"/>
            <w:noWrap/>
            <w:vAlign w:val="center"/>
            <w:hideMark/>
          </w:tcPr>
          <w:p w14:paraId="03F156D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28" w:type="dxa"/>
            <w:tcBorders>
              <w:top w:val="nil"/>
              <w:left w:val="nil"/>
              <w:bottom w:val="single" w:sz="4" w:space="0" w:color="auto"/>
              <w:right w:val="single" w:sz="4" w:space="0" w:color="auto"/>
            </w:tcBorders>
            <w:shd w:val="clear" w:color="auto" w:fill="auto"/>
            <w:noWrap/>
            <w:vAlign w:val="center"/>
            <w:hideMark/>
          </w:tcPr>
          <w:p w14:paraId="5C9CF73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0CC561B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0B423D57"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339" w:type="dxa"/>
            <w:tcBorders>
              <w:top w:val="nil"/>
              <w:left w:val="nil"/>
              <w:bottom w:val="single" w:sz="4" w:space="0" w:color="auto"/>
              <w:right w:val="single" w:sz="4" w:space="0" w:color="auto"/>
            </w:tcBorders>
            <w:shd w:val="clear" w:color="auto" w:fill="auto"/>
            <w:noWrap/>
            <w:vAlign w:val="center"/>
            <w:hideMark/>
          </w:tcPr>
          <w:p w14:paraId="0737EB4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756" w:type="dxa"/>
            <w:tcBorders>
              <w:top w:val="nil"/>
              <w:left w:val="nil"/>
              <w:bottom w:val="single" w:sz="4" w:space="0" w:color="auto"/>
              <w:right w:val="single" w:sz="4" w:space="0" w:color="auto"/>
            </w:tcBorders>
            <w:shd w:val="clear" w:color="auto" w:fill="auto"/>
            <w:noWrap/>
            <w:vAlign w:val="center"/>
            <w:hideMark/>
          </w:tcPr>
          <w:p w14:paraId="0748DC62"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124595E0"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8E5C001"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 xml:space="preserve">6.4.3 OTA total power dynamic range </w:t>
            </w:r>
          </w:p>
        </w:tc>
        <w:tc>
          <w:tcPr>
            <w:tcW w:w="511" w:type="dxa"/>
            <w:tcBorders>
              <w:top w:val="nil"/>
              <w:left w:val="nil"/>
              <w:bottom w:val="single" w:sz="4" w:space="0" w:color="auto"/>
              <w:right w:val="single" w:sz="4" w:space="0" w:color="auto"/>
            </w:tcBorders>
            <w:shd w:val="clear" w:color="auto" w:fill="auto"/>
            <w:noWrap/>
            <w:vAlign w:val="center"/>
            <w:hideMark/>
          </w:tcPr>
          <w:p w14:paraId="1103A54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53E96AF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3CBA5AF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544023D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3BAB1FA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EEB41B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5004A3A0" w14:textId="77777777" w:rsidTr="00297F52">
        <w:trPr>
          <w:trHeight w:val="27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12937E48"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6.5.1 OTA transmitter OFF power</w:t>
            </w:r>
          </w:p>
        </w:tc>
        <w:tc>
          <w:tcPr>
            <w:tcW w:w="5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043B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124F6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7CAAF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76E1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084B1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vMerge w:val="restart"/>
            <w:tcBorders>
              <w:top w:val="nil"/>
              <w:left w:val="single" w:sz="4" w:space="0" w:color="auto"/>
              <w:bottom w:val="single" w:sz="4" w:space="0" w:color="auto"/>
              <w:right w:val="single" w:sz="4" w:space="0" w:color="auto"/>
            </w:tcBorders>
            <w:shd w:val="clear" w:color="auto" w:fill="auto"/>
            <w:vAlign w:val="center"/>
            <w:hideMark/>
          </w:tcPr>
          <w:p w14:paraId="7A34A0AA" w14:textId="67CA9478"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FR1=CL</w:t>
            </w:r>
            <w:r w:rsidRPr="00297F52">
              <w:rPr>
                <w:rFonts w:ascii="Arial" w:eastAsia="SimSun" w:hAnsi="Arial" w:cs="Arial"/>
                <w:color w:val="000000"/>
                <w:lang w:val="en-US" w:eastAsia="zh-CN"/>
              </w:rPr>
              <w:br/>
              <w:t>FR2=single directional</w:t>
            </w:r>
          </w:p>
        </w:tc>
      </w:tr>
      <w:tr w:rsidR="00297F52" w:rsidRPr="00297F52" w14:paraId="28735DF3"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D06135B"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lastRenderedPageBreak/>
              <w:t>6.5.2 OTA transmitter transient period</w:t>
            </w:r>
          </w:p>
        </w:tc>
        <w:tc>
          <w:tcPr>
            <w:tcW w:w="511" w:type="dxa"/>
            <w:vMerge/>
            <w:tcBorders>
              <w:top w:val="nil"/>
              <w:left w:val="single" w:sz="4" w:space="0" w:color="auto"/>
              <w:bottom w:val="single" w:sz="4" w:space="0" w:color="auto"/>
              <w:right w:val="single" w:sz="4" w:space="0" w:color="auto"/>
            </w:tcBorders>
            <w:vAlign w:val="center"/>
            <w:hideMark/>
          </w:tcPr>
          <w:p w14:paraId="4D2168EB" w14:textId="77777777" w:rsidR="00297F52" w:rsidRPr="00297F52" w:rsidRDefault="00297F52" w:rsidP="00297F52">
            <w:pPr>
              <w:spacing w:after="0"/>
              <w:rPr>
                <w:rFonts w:ascii="Arial" w:eastAsia="SimSun" w:hAnsi="Arial" w:cs="Arial"/>
                <w:color w:val="000000"/>
                <w:lang w:val="en-US" w:eastAsia="zh-CN"/>
              </w:rPr>
            </w:pPr>
          </w:p>
        </w:tc>
        <w:tc>
          <w:tcPr>
            <w:tcW w:w="528" w:type="dxa"/>
            <w:vMerge/>
            <w:tcBorders>
              <w:top w:val="nil"/>
              <w:left w:val="single" w:sz="4" w:space="0" w:color="auto"/>
              <w:bottom w:val="single" w:sz="4" w:space="0" w:color="auto"/>
              <w:right w:val="single" w:sz="4" w:space="0" w:color="auto"/>
            </w:tcBorders>
            <w:vAlign w:val="center"/>
            <w:hideMark/>
          </w:tcPr>
          <w:p w14:paraId="15C2D791" w14:textId="77777777" w:rsidR="00297F52" w:rsidRPr="00297F52" w:rsidRDefault="00297F52" w:rsidP="00297F52">
            <w:pPr>
              <w:spacing w:after="0"/>
              <w:rPr>
                <w:rFonts w:ascii="Arial" w:eastAsia="SimSun" w:hAnsi="Arial" w:cs="Arial"/>
                <w:color w:val="000000"/>
                <w:lang w:val="en-US" w:eastAsia="zh-CN"/>
              </w:rPr>
            </w:pPr>
          </w:p>
        </w:tc>
        <w:tc>
          <w:tcPr>
            <w:tcW w:w="516" w:type="dxa"/>
            <w:vMerge/>
            <w:tcBorders>
              <w:top w:val="nil"/>
              <w:left w:val="single" w:sz="4" w:space="0" w:color="auto"/>
              <w:bottom w:val="single" w:sz="4" w:space="0" w:color="auto"/>
              <w:right w:val="single" w:sz="4" w:space="0" w:color="auto"/>
            </w:tcBorders>
            <w:vAlign w:val="center"/>
            <w:hideMark/>
          </w:tcPr>
          <w:p w14:paraId="6ED48122" w14:textId="77777777" w:rsidR="00297F52" w:rsidRPr="00297F52" w:rsidRDefault="00297F52" w:rsidP="00297F52">
            <w:pPr>
              <w:spacing w:after="0"/>
              <w:rPr>
                <w:rFonts w:ascii="Arial" w:eastAsia="SimSun" w:hAnsi="Arial" w:cs="Arial"/>
                <w:color w:val="000000"/>
                <w:lang w:val="en-US" w:eastAsia="zh-CN"/>
              </w:rPr>
            </w:pPr>
          </w:p>
        </w:tc>
        <w:tc>
          <w:tcPr>
            <w:tcW w:w="1106" w:type="dxa"/>
            <w:vMerge/>
            <w:tcBorders>
              <w:top w:val="nil"/>
              <w:left w:val="single" w:sz="4" w:space="0" w:color="auto"/>
              <w:bottom w:val="single" w:sz="4" w:space="0" w:color="auto"/>
              <w:right w:val="single" w:sz="4" w:space="0" w:color="auto"/>
            </w:tcBorders>
            <w:vAlign w:val="center"/>
            <w:hideMark/>
          </w:tcPr>
          <w:p w14:paraId="696ADCAD" w14:textId="77777777" w:rsidR="00297F52" w:rsidRPr="00297F52" w:rsidRDefault="00297F52" w:rsidP="00297F52">
            <w:pPr>
              <w:spacing w:after="0"/>
              <w:rPr>
                <w:rFonts w:ascii="Arial" w:eastAsia="SimSun" w:hAnsi="Arial" w:cs="Arial"/>
                <w:color w:val="000000"/>
                <w:lang w:val="en-US" w:eastAsia="zh-CN"/>
              </w:rPr>
            </w:pPr>
          </w:p>
        </w:tc>
        <w:tc>
          <w:tcPr>
            <w:tcW w:w="1339" w:type="dxa"/>
            <w:vMerge/>
            <w:tcBorders>
              <w:top w:val="nil"/>
              <w:left w:val="single" w:sz="4" w:space="0" w:color="auto"/>
              <w:bottom w:val="single" w:sz="4" w:space="0" w:color="auto"/>
              <w:right w:val="single" w:sz="4" w:space="0" w:color="auto"/>
            </w:tcBorders>
            <w:vAlign w:val="center"/>
            <w:hideMark/>
          </w:tcPr>
          <w:p w14:paraId="43A0C545" w14:textId="77777777" w:rsidR="00297F52" w:rsidRPr="00297F52" w:rsidRDefault="00297F52" w:rsidP="00297F52">
            <w:pPr>
              <w:spacing w:after="0"/>
              <w:rPr>
                <w:rFonts w:ascii="Arial" w:eastAsia="SimSun" w:hAnsi="Arial" w:cs="Arial"/>
                <w:color w:val="000000"/>
                <w:lang w:val="en-US" w:eastAsia="zh-CN"/>
              </w:rPr>
            </w:pPr>
          </w:p>
        </w:tc>
        <w:tc>
          <w:tcPr>
            <w:tcW w:w="1756" w:type="dxa"/>
            <w:vMerge/>
            <w:tcBorders>
              <w:top w:val="nil"/>
              <w:left w:val="single" w:sz="4" w:space="0" w:color="auto"/>
              <w:bottom w:val="single" w:sz="4" w:space="0" w:color="auto"/>
              <w:right w:val="single" w:sz="4" w:space="0" w:color="auto"/>
            </w:tcBorders>
            <w:vAlign w:val="center"/>
            <w:hideMark/>
          </w:tcPr>
          <w:p w14:paraId="09BCBB8A" w14:textId="77777777" w:rsidR="00297F52" w:rsidRPr="00297F52" w:rsidRDefault="00297F52" w:rsidP="00297F52">
            <w:pPr>
              <w:spacing w:after="0"/>
              <w:rPr>
                <w:rFonts w:ascii="Arial" w:eastAsia="SimSun" w:hAnsi="Arial" w:cs="Arial"/>
                <w:color w:val="000000"/>
                <w:lang w:val="en-US" w:eastAsia="zh-CN"/>
              </w:rPr>
            </w:pPr>
          </w:p>
        </w:tc>
      </w:tr>
      <w:tr w:rsidR="00297F52" w:rsidRPr="00297F52" w14:paraId="4DCE2174"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CE7EB52"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6.6.2 OTA frequency error</w:t>
            </w:r>
          </w:p>
        </w:tc>
        <w:tc>
          <w:tcPr>
            <w:tcW w:w="511" w:type="dxa"/>
            <w:tcBorders>
              <w:top w:val="nil"/>
              <w:left w:val="nil"/>
              <w:bottom w:val="single" w:sz="4" w:space="0" w:color="auto"/>
              <w:right w:val="single" w:sz="4" w:space="0" w:color="auto"/>
            </w:tcBorders>
            <w:shd w:val="clear" w:color="auto" w:fill="auto"/>
            <w:noWrap/>
            <w:vAlign w:val="center"/>
            <w:hideMark/>
          </w:tcPr>
          <w:p w14:paraId="183BA3E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28" w:type="dxa"/>
            <w:tcBorders>
              <w:top w:val="nil"/>
              <w:left w:val="nil"/>
              <w:bottom w:val="single" w:sz="4" w:space="0" w:color="auto"/>
              <w:right w:val="single" w:sz="4" w:space="0" w:color="auto"/>
            </w:tcBorders>
            <w:shd w:val="clear" w:color="auto" w:fill="auto"/>
            <w:noWrap/>
            <w:vAlign w:val="center"/>
            <w:hideMark/>
          </w:tcPr>
          <w:p w14:paraId="430B72D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16" w:type="dxa"/>
            <w:tcBorders>
              <w:top w:val="nil"/>
              <w:left w:val="nil"/>
              <w:bottom w:val="single" w:sz="4" w:space="0" w:color="auto"/>
              <w:right w:val="single" w:sz="4" w:space="0" w:color="auto"/>
            </w:tcBorders>
            <w:shd w:val="clear" w:color="auto" w:fill="auto"/>
            <w:noWrap/>
            <w:vAlign w:val="center"/>
            <w:hideMark/>
          </w:tcPr>
          <w:p w14:paraId="2940819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2AB914A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195A932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42CD01E2"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19B4304E"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7E63D9F"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6.6.3 OTA modulation quality</w:t>
            </w:r>
          </w:p>
        </w:tc>
        <w:tc>
          <w:tcPr>
            <w:tcW w:w="511" w:type="dxa"/>
            <w:tcBorders>
              <w:top w:val="nil"/>
              <w:left w:val="nil"/>
              <w:bottom w:val="single" w:sz="4" w:space="0" w:color="auto"/>
              <w:right w:val="single" w:sz="4" w:space="0" w:color="auto"/>
            </w:tcBorders>
            <w:shd w:val="clear" w:color="auto" w:fill="auto"/>
            <w:noWrap/>
            <w:vAlign w:val="center"/>
            <w:hideMark/>
          </w:tcPr>
          <w:p w14:paraId="56D6FED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28" w:type="dxa"/>
            <w:tcBorders>
              <w:top w:val="nil"/>
              <w:left w:val="nil"/>
              <w:bottom w:val="single" w:sz="4" w:space="0" w:color="auto"/>
              <w:right w:val="single" w:sz="4" w:space="0" w:color="auto"/>
            </w:tcBorders>
            <w:shd w:val="clear" w:color="auto" w:fill="auto"/>
            <w:noWrap/>
            <w:vAlign w:val="center"/>
            <w:hideMark/>
          </w:tcPr>
          <w:p w14:paraId="10FB3E2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16" w:type="dxa"/>
            <w:tcBorders>
              <w:top w:val="nil"/>
              <w:left w:val="nil"/>
              <w:bottom w:val="single" w:sz="4" w:space="0" w:color="auto"/>
              <w:right w:val="single" w:sz="4" w:space="0" w:color="auto"/>
            </w:tcBorders>
            <w:shd w:val="clear" w:color="auto" w:fill="auto"/>
            <w:noWrap/>
            <w:vAlign w:val="center"/>
            <w:hideMark/>
          </w:tcPr>
          <w:p w14:paraId="118CDD1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6409F97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highlight w:val="yellow"/>
                <w:lang w:val="en-US" w:eastAsia="zh-CN"/>
              </w:rPr>
              <w:t>5</w:t>
            </w:r>
          </w:p>
        </w:tc>
        <w:tc>
          <w:tcPr>
            <w:tcW w:w="1339" w:type="dxa"/>
            <w:tcBorders>
              <w:top w:val="nil"/>
              <w:left w:val="nil"/>
              <w:bottom w:val="single" w:sz="4" w:space="0" w:color="auto"/>
              <w:right w:val="single" w:sz="4" w:space="0" w:color="auto"/>
            </w:tcBorders>
            <w:shd w:val="clear" w:color="auto" w:fill="auto"/>
            <w:noWrap/>
            <w:vAlign w:val="center"/>
            <w:hideMark/>
          </w:tcPr>
          <w:p w14:paraId="6DB53D9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5D08125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07614E18"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0ADE99E"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6.6.4 OTA time alignment error</w:t>
            </w:r>
          </w:p>
        </w:tc>
        <w:tc>
          <w:tcPr>
            <w:tcW w:w="511" w:type="dxa"/>
            <w:tcBorders>
              <w:top w:val="nil"/>
              <w:left w:val="nil"/>
              <w:bottom w:val="single" w:sz="4" w:space="0" w:color="auto"/>
              <w:right w:val="single" w:sz="4" w:space="0" w:color="auto"/>
            </w:tcBorders>
            <w:shd w:val="clear" w:color="auto" w:fill="auto"/>
            <w:noWrap/>
            <w:vAlign w:val="center"/>
            <w:hideMark/>
          </w:tcPr>
          <w:p w14:paraId="1AE81E9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55EAC95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2B3C09A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394BBBE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2973DA5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5C8C2481"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163A08E6"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AFDB168"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6.7.2 OTA occupied bandwidth</w:t>
            </w:r>
          </w:p>
        </w:tc>
        <w:tc>
          <w:tcPr>
            <w:tcW w:w="511" w:type="dxa"/>
            <w:tcBorders>
              <w:top w:val="nil"/>
              <w:left w:val="nil"/>
              <w:bottom w:val="single" w:sz="4" w:space="0" w:color="auto"/>
              <w:right w:val="single" w:sz="4" w:space="0" w:color="auto"/>
            </w:tcBorders>
            <w:shd w:val="clear" w:color="auto" w:fill="auto"/>
            <w:noWrap/>
            <w:vAlign w:val="center"/>
            <w:hideMark/>
          </w:tcPr>
          <w:p w14:paraId="318BAF9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56DBC7E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48920FB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26729F6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165AE34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37CEDE7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73591FBC"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4B742ED4"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6.7.3 OTA ACLR/CACLR</w:t>
            </w:r>
          </w:p>
        </w:tc>
        <w:tc>
          <w:tcPr>
            <w:tcW w:w="511" w:type="dxa"/>
            <w:tcBorders>
              <w:top w:val="nil"/>
              <w:left w:val="nil"/>
              <w:bottom w:val="single" w:sz="4" w:space="0" w:color="auto"/>
              <w:right w:val="single" w:sz="4" w:space="0" w:color="auto"/>
            </w:tcBorders>
            <w:shd w:val="clear" w:color="auto" w:fill="auto"/>
            <w:noWrap/>
            <w:vAlign w:val="center"/>
            <w:hideMark/>
          </w:tcPr>
          <w:p w14:paraId="43355B99"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28" w:type="dxa"/>
            <w:tcBorders>
              <w:top w:val="nil"/>
              <w:left w:val="nil"/>
              <w:bottom w:val="single" w:sz="4" w:space="0" w:color="auto"/>
              <w:right w:val="single" w:sz="4" w:space="0" w:color="auto"/>
            </w:tcBorders>
            <w:shd w:val="clear" w:color="auto" w:fill="auto"/>
            <w:noWrap/>
            <w:vAlign w:val="center"/>
            <w:hideMark/>
          </w:tcPr>
          <w:p w14:paraId="7107DB97"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516" w:type="dxa"/>
            <w:tcBorders>
              <w:top w:val="nil"/>
              <w:left w:val="nil"/>
              <w:bottom w:val="single" w:sz="4" w:space="0" w:color="auto"/>
              <w:right w:val="single" w:sz="4" w:space="0" w:color="auto"/>
            </w:tcBorders>
            <w:shd w:val="clear" w:color="auto" w:fill="auto"/>
            <w:noWrap/>
            <w:vAlign w:val="center"/>
            <w:hideMark/>
          </w:tcPr>
          <w:p w14:paraId="558015F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2DD82E3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5971499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6A204738"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TRP  </w:t>
            </w:r>
          </w:p>
        </w:tc>
      </w:tr>
      <w:tr w:rsidR="00297F52" w:rsidRPr="00297F52" w14:paraId="1B6F2449" w14:textId="77777777" w:rsidTr="00297F52">
        <w:trPr>
          <w:trHeight w:val="51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D235AD2"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6.7.4 OTA operating band unwanted emissions</w:t>
            </w:r>
          </w:p>
        </w:tc>
        <w:tc>
          <w:tcPr>
            <w:tcW w:w="511" w:type="dxa"/>
            <w:tcBorders>
              <w:top w:val="nil"/>
              <w:left w:val="nil"/>
              <w:bottom w:val="single" w:sz="4" w:space="0" w:color="auto"/>
              <w:right w:val="single" w:sz="4" w:space="0" w:color="auto"/>
            </w:tcBorders>
            <w:shd w:val="clear" w:color="auto" w:fill="auto"/>
            <w:noWrap/>
            <w:vAlign w:val="center"/>
            <w:hideMark/>
          </w:tcPr>
          <w:p w14:paraId="105FF6F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28" w:type="dxa"/>
            <w:tcBorders>
              <w:top w:val="nil"/>
              <w:left w:val="nil"/>
              <w:bottom w:val="single" w:sz="4" w:space="0" w:color="auto"/>
              <w:right w:val="single" w:sz="4" w:space="0" w:color="auto"/>
            </w:tcBorders>
            <w:shd w:val="clear" w:color="auto" w:fill="auto"/>
            <w:noWrap/>
            <w:vAlign w:val="center"/>
            <w:hideMark/>
          </w:tcPr>
          <w:p w14:paraId="4C914E6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16" w:type="dxa"/>
            <w:tcBorders>
              <w:top w:val="nil"/>
              <w:left w:val="nil"/>
              <w:bottom w:val="single" w:sz="4" w:space="0" w:color="auto"/>
              <w:right w:val="single" w:sz="4" w:space="0" w:color="auto"/>
            </w:tcBorders>
            <w:shd w:val="clear" w:color="auto" w:fill="auto"/>
            <w:noWrap/>
            <w:vAlign w:val="center"/>
            <w:hideMark/>
          </w:tcPr>
          <w:p w14:paraId="7D7A5B0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5A02F48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3E6CE3B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7268040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TRP</w:t>
            </w:r>
          </w:p>
        </w:tc>
      </w:tr>
      <w:tr w:rsidR="00297F52" w:rsidRPr="00297F52" w14:paraId="0917B652" w14:textId="77777777" w:rsidTr="00297F52">
        <w:trPr>
          <w:trHeight w:val="51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11CFD0BA"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6.7.5.2 OTA transmitter spurious emissions, mandatory requirements</w:t>
            </w:r>
          </w:p>
        </w:tc>
        <w:tc>
          <w:tcPr>
            <w:tcW w:w="511" w:type="dxa"/>
            <w:tcBorders>
              <w:top w:val="nil"/>
              <w:left w:val="nil"/>
              <w:bottom w:val="single" w:sz="4" w:space="0" w:color="auto"/>
              <w:right w:val="single" w:sz="4" w:space="0" w:color="auto"/>
            </w:tcBorders>
            <w:shd w:val="clear" w:color="auto" w:fill="auto"/>
            <w:noWrap/>
            <w:vAlign w:val="center"/>
            <w:hideMark/>
          </w:tcPr>
          <w:p w14:paraId="6C8718A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5C8C70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52876E9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30A99E8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7633391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6223353"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TRP</w:t>
            </w:r>
          </w:p>
        </w:tc>
      </w:tr>
      <w:tr w:rsidR="00297F52" w:rsidRPr="00297F52" w14:paraId="0FE0370D" w14:textId="77777777" w:rsidTr="00297F52">
        <w:trPr>
          <w:trHeight w:val="51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DBA1FF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6.7.5.3 OTA transmitter spurious emissions, protection of BS receiver</w:t>
            </w:r>
          </w:p>
        </w:tc>
        <w:tc>
          <w:tcPr>
            <w:tcW w:w="511" w:type="dxa"/>
            <w:tcBorders>
              <w:top w:val="nil"/>
              <w:left w:val="nil"/>
              <w:bottom w:val="single" w:sz="4" w:space="0" w:color="auto"/>
              <w:right w:val="single" w:sz="4" w:space="0" w:color="auto"/>
            </w:tcBorders>
            <w:shd w:val="clear" w:color="auto" w:fill="auto"/>
            <w:noWrap/>
            <w:vAlign w:val="center"/>
            <w:hideMark/>
          </w:tcPr>
          <w:p w14:paraId="1869E93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3225387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58F3809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1098575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3F5BEA4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443712F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CL</w:t>
            </w:r>
          </w:p>
        </w:tc>
      </w:tr>
      <w:tr w:rsidR="00297F52" w:rsidRPr="00297F52" w14:paraId="1D81AD6F" w14:textId="77777777" w:rsidTr="00297F52">
        <w:trPr>
          <w:trHeight w:val="76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7AC979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6.7.5.4 OTA transmitter spurious emissions, additional spurious emissions requirements</w:t>
            </w:r>
          </w:p>
        </w:tc>
        <w:tc>
          <w:tcPr>
            <w:tcW w:w="511" w:type="dxa"/>
            <w:tcBorders>
              <w:top w:val="nil"/>
              <w:left w:val="nil"/>
              <w:bottom w:val="single" w:sz="4" w:space="0" w:color="auto"/>
              <w:right w:val="single" w:sz="4" w:space="0" w:color="auto"/>
            </w:tcBorders>
            <w:shd w:val="clear" w:color="auto" w:fill="auto"/>
            <w:noWrap/>
            <w:vAlign w:val="center"/>
            <w:hideMark/>
          </w:tcPr>
          <w:p w14:paraId="234103C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039D2E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155D1FA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3093BF1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2F17313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7C7227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TRP</w:t>
            </w:r>
          </w:p>
        </w:tc>
      </w:tr>
      <w:tr w:rsidR="00297F52" w:rsidRPr="00297F52" w14:paraId="25EDD601" w14:textId="77777777" w:rsidTr="00297F52">
        <w:trPr>
          <w:trHeight w:val="510"/>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12E74761"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6.7.5.5 OTA transmitter spurious emissions, co-location</w:t>
            </w:r>
          </w:p>
        </w:tc>
        <w:tc>
          <w:tcPr>
            <w:tcW w:w="511" w:type="dxa"/>
            <w:tcBorders>
              <w:top w:val="nil"/>
              <w:left w:val="nil"/>
              <w:bottom w:val="single" w:sz="4" w:space="0" w:color="auto"/>
              <w:right w:val="single" w:sz="4" w:space="0" w:color="auto"/>
            </w:tcBorders>
            <w:shd w:val="clear" w:color="auto" w:fill="auto"/>
            <w:noWrap/>
            <w:vAlign w:val="center"/>
            <w:hideMark/>
          </w:tcPr>
          <w:p w14:paraId="4DAA15B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11050F9"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39FF101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0919F01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431C8E1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39845CEE"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CL</w:t>
            </w:r>
          </w:p>
        </w:tc>
      </w:tr>
      <w:tr w:rsidR="00297F52" w:rsidRPr="00297F52" w14:paraId="01D5C9D1"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037990A"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eastAsia="zh-CN"/>
              </w:rPr>
              <w:t>6.8 OTA transmitter intermodulation</w:t>
            </w:r>
          </w:p>
        </w:tc>
        <w:tc>
          <w:tcPr>
            <w:tcW w:w="511" w:type="dxa"/>
            <w:tcBorders>
              <w:top w:val="nil"/>
              <w:left w:val="nil"/>
              <w:bottom w:val="single" w:sz="4" w:space="0" w:color="auto"/>
              <w:right w:val="single" w:sz="4" w:space="0" w:color="auto"/>
            </w:tcBorders>
            <w:shd w:val="clear" w:color="auto" w:fill="auto"/>
            <w:noWrap/>
            <w:vAlign w:val="center"/>
            <w:hideMark/>
          </w:tcPr>
          <w:p w14:paraId="5FF6E2B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D641DE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24DD2E0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543C3C2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25DB998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749E8EB6"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CL/TRP</w:t>
            </w:r>
          </w:p>
        </w:tc>
      </w:tr>
    </w:tbl>
    <w:p w14:paraId="00F15E6A" w14:textId="77777777" w:rsidR="00297F52" w:rsidRDefault="00297F52" w:rsidP="00E21E55"/>
    <w:p w14:paraId="60DE52F6" w14:textId="77777777" w:rsidR="001044EF" w:rsidRDefault="001044EF" w:rsidP="001044EF">
      <w:r>
        <w:rPr>
          <w:rFonts w:hint="eastAsia"/>
        </w:rPr>
        <w:t>F</w:t>
      </w:r>
      <w:r>
        <w:t>or the transmitter the number of channels and the directions are already quite well optimised.</w:t>
      </w:r>
    </w:p>
    <w:p w14:paraId="4C21A3AC" w14:textId="77777777" w:rsidR="001044EF" w:rsidRDefault="001044EF" w:rsidP="001044EF">
      <w:r>
        <w:t xml:space="preserve">Multiple directions are only required for Tx output power and EVM, Tx output power is done at 3 frequencies (hence 15 test points) and EVM at 2 (10 test points). </w:t>
      </w:r>
    </w:p>
    <w:p w14:paraId="4190E470" w14:textId="77777777" w:rsidR="001044EF" w:rsidRDefault="001044EF" w:rsidP="001044EF">
      <w:r>
        <w:t>It seems that at least some test are done at the direction extremes and the frequency extremes, as beam forming can affect Tx output power and EVM in different ways the number of tests currently carried out seems reasonable. Possibly the output power measurement could be reduced to 2 (B, T) but as many other tests with a single channel are done at M, it seems sensible to measure directional power at M to be used as a reference for these.</w:t>
      </w:r>
    </w:p>
    <w:p w14:paraId="6E986631" w14:textId="77777777" w:rsidR="001044EF" w:rsidRDefault="001044EF" w:rsidP="001044EF">
      <w:r>
        <w:t>Directional test are anyway quite fast as they are only done at a single measurement direction, compared to the TRP tests there is not much to be gain interns of total measurement time</w:t>
      </w:r>
    </w:p>
    <w:p w14:paraId="679546E8" w14:textId="6A0EC8F0" w:rsidR="001044EF" w:rsidRDefault="001044EF" w:rsidP="001044EF">
      <w:r w:rsidRPr="001044EF">
        <w:rPr>
          <w:rFonts w:hint="eastAsia"/>
          <w:b/>
        </w:rPr>
        <w:t>O</w:t>
      </w:r>
      <w:r w:rsidRPr="001044EF">
        <w:rPr>
          <w:b/>
        </w:rPr>
        <w:t xml:space="preserve">bservation 1: </w:t>
      </w:r>
      <w:r>
        <w:t xml:space="preserve">There is very little scope to reduce the number of Tx directions/channels in the existing BS </w:t>
      </w:r>
      <w:r w:rsidR="000925FA">
        <w:t xml:space="preserve">transmitter directional requirements </w:t>
      </w:r>
      <w:r>
        <w:t>test coverage.</w:t>
      </w:r>
    </w:p>
    <w:p w14:paraId="64CE1BB4" w14:textId="77777777" w:rsidR="001044EF" w:rsidRDefault="001044EF" w:rsidP="001044EF">
      <w:r>
        <w:t>Transmitter TRP tests are non-directional so there is no scope to reduce the number of direction (the beam is set up once in an optimal setting for TRP measurements). These tests can be lengthy as they require a sweep as many measurement directions to estimate the TRP.</w:t>
      </w:r>
      <w:r>
        <w:rPr>
          <w:rFonts w:hint="eastAsia"/>
        </w:rPr>
        <w:t xml:space="preserve"> </w:t>
      </w:r>
    </w:p>
    <w:p w14:paraId="5209B808" w14:textId="77777777" w:rsidR="001044EF" w:rsidRDefault="001044EF" w:rsidP="001044EF">
      <w:r>
        <w:rPr>
          <w:rFonts w:hint="eastAsia"/>
        </w:rPr>
        <w:t>A</w:t>
      </w:r>
      <w:r>
        <w:t xml:space="preserve"> number of TRP requirements are measured in 3 channels.</w:t>
      </w:r>
    </w:p>
    <w:p w14:paraId="59E5FD78" w14:textId="77777777" w:rsidR="001044EF" w:rsidRDefault="001044EF" w:rsidP="001044EF">
      <w:pPr>
        <w:ind w:leftChars="100" w:left="200"/>
      </w:pPr>
      <w:r>
        <w:t>Base station output power: As the EIRP version of this is measured at the frequency extremes then maybe this could be reduced to a single requirement at the middle channel. However the TRP measurement is often used to compare to regulator emissions limits so reducing the test coverage could be problematic. Possibly measuring the same channel as the highest EIRP would be a compromise.</w:t>
      </w:r>
    </w:p>
    <w:p w14:paraId="6739DA61" w14:textId="77777777" w:rsidR="001044EF" w:rsidRDefault="001044EF" w:rsidP="001044EF">
      <w:pPr>
        <w:ind w:leftChars="100" w:left="200"/>
      </w:pPr>
      <w:r>
        <w:t>Operating band unwanted emissions are tested at 3 channels (B,M,T) but ACLR is only tested at 2 (B,T), possibly as UEM has some absolute limits and it would be expected that the highest gain/Pout occurs at M then this is why M is included in in UEM and not ACLR. Clearly there is some scope to reduce this but as with base station output power these requirements are closely linked to regulatory requirements and hence it may not be wise to reduce the test coverage.</w:t>
      </w:r>
    </w:p>
    <w:p w14:paraId="317BA9C2" w14:textId="77777777" w:rsidR="001044EF" w:rsidRDefault="001044EF" w:rsidP="001044EF">
      <w:r w:rsidRPr="001044EF">
        <w:rPr>
          <w:b/>
        </w:rPr>
        <w:t>Observation 2:</w:t>
      </w:r>
      <w:r>
        <w:t xml:space="preserve"> There is limited scope to reduce the number of channels for some transmitter TRP measurements but as these requirements are linked to regulatory limits the small gain in testing time does not justify the test coverage reduction.</w:t>
      </w:r>
    </w:p>
    <w:p w14:paraId="702C4E3E" w14:textId="77777777" w:rsidR="001044EF" w:rsidRDefault="001044EF" w:rsidP="001044EF">
      <w:r>
        <w:t>All co-location tests are already only carried out at a single frequency and by their nature only a single direction. There is no scope to reduce the number of test for the co-location.</w:t>
      </w:r>
    </w:p>
    <w:p w14:paraId="6EC28766" w14:textId="77777777" w:rsidR="001044EF" w:rsidRPr="00297F52" w:rsidRDefault="001044EF" w:rsidP="001044EF">
      <w:r w:rsidRPr="001044EF">
        <w:rPr>
          <w:b/>
        </w:rPr>
        <w:lastRenderedPageBreak/>
        <w:t>Observation 3:</w:t>
      </w:r>
      <w:r>
        <w:t xml:space="preserve"> There is no scope to further reduce the co-location test coverage.</w:t>
      </w:r>
    </w:p>
    <w:p w14:paraId="6C159C3D" w14:textId="6222108B" w:rsidR="001044EF" w:rsidRDefault="007F1CE7" w:rsidP="007F1CE7">
      <w:pPr>
        <w:pStyle w:val="Heading3"/>
      </w:pPr>
      <w:r>
        <w:t>2.1.2</w:t>
      </w:r>
      <w:r>
        <w:tab/>
      </w:r>
      <w:r w:rsidR="00AD44E4">
        <w:t>Receiver</w:t>
      </w:r>
    </w:p>
    <w:p w14:paraId="1417CD8E" w14:textId="40E0F9D8" w:rsidR="001044EF" w:rsidRPr="001044EF" w:rsidRDefault="001044EF" w:rsidP="001044EF">
      <w:r>
        <w:rPr>
          <w:rFonts w:hint="eastAsia"/>
        </w:rPr>
        <w:t>T</w:t>
      </w:r>
      <w:r>
        <w:t>he following test cases are used for the receiver requirements (from 38.141-2):</w:t>
      </w:r>
    </w:p>
    <w:p w14:paraId="4926273E" w14:textId="4A2378CA" w:rsidR="00297F52" w:rsidRDefault="00297F52" w:rsidP="00297F52">
      <w:pPr>
        <w:pStyle w:val="TH"/>
      </w:pPr>
      <w:r>
        <w:t>Table 2</w:t>
      </w:r>
      <w:r w:rsidR="007F1CE7">
        <w:t>.1.2</w:t>
      </w:r>
      <w:r>
        <w:t>-</w:t>
      </w:r>
      <w:r w:rsidR="007F1CE7">
        <w:t>1</w:t>
      </w:r>
      <w:r>
        <w:t>: NR BS OTA Receiver test cases</w:t>
      </w:r>
    </w:p>
    <w:tbl>
      <w:tblPr>
        <w:tblW w:w="9356" w:type="dxa"/>
        <w:tblInd w:w="-5" w:type="dxa"/>
        <w:tblLook w:val="04A0" w:firstRow="1" w:lastRow="0" w:firstColumn="1" w:lastColumn="0" w:noHBand="0" w:noVBand="1"/>
      </w:tblPr>
      <w:tblGrid>
        <w:gridCol w:w="3600"/>
        <w:gridCol w:w="511"/>
        <w:gridCol w:w="528"/>
        <w:gridCol w:w="516"/>
        <w:gridCol w:w="1106"/>
        <w:gridCol w:w="1339"/>
        <w:gridCol w:w="1756"/>
      </w:tblGrid>
      <w:tr w:rsidR="00297F52" w:rsidRPr="00297F52" w14:paraId="659FB209" w14:textId="77777777" w:rsidTr="00297F52">
        <w:trPr>
          <w:trHeight w:val="255"/>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4B50B"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55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5724F3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Channels</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3D560A9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Directions</w:t>
            </w:r>
          </w:p>
        </w:tc>
        <w:tc>
          <w:tcPr>
            <w:tcW w:w="1339" w:type="dxa"/>
            <w:tcBorders>
              <w:top w:val="single" w:sz="4" w:space="0" w:color="auto"/>
              <w:left w:val="nil"/>
              <w:bottom w:val="single" w:sz="4" w:space="0" w:color="auto"/>
              <w:right w:val="single" w:sz="4" w:space="0" w:color="auto"/>
            </w:tcBorders>
            <w:shd w:val="clear" w:color="auto" w:fill="auto"/>
            <w:noWrap/>
            <w:vAlign w:val="center"/>
            <w:hideMark/>
          </w:tcPr>
          <w:p w14:paraId="28E0DE0E"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Environment</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14:paraId="55B39674"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Notes</w:t>
            </w:r>
          </w:p>
        </w:tc>
      </w:tr>
      <w:tr w:rsidR="00297F52" w:rsidRPr="00297F52" w14:paraId="13365CB7"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3A7DF191"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511" w:type="dxa"/>
            <w:tcBorders>
              <w:top w:val="nil"/>
              <w:left w:val="nil"/>
              <w:bottom w:val="single" w:sz="4" w:space="0" w:color="auto"/>
              <w:right w:val="single" w:sz="4" w:space="0" w:color="auto"/>
            </w:tcBorders>
            <w:shd w:val="clear" w:color="auto" w:fill="auto"/>
            <w:noWrap/>
            <w:vAlign w:val="center"/>
            <w:hideMark/>
          </w:tcPr>
          <w:p w14:paraId="0CA9098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SC</w:t>
            </w:r>
          </w:p>
        </w:tc>
        <w:tc>
          <w:tcPr>
            <w:tcW w:w="528" w:type="dxa"/>
            <w:tcBorders>
              <w:top w:val="nil"/>
              <w:left w:val="nil"/>
              <w:bottom w:val="single" w:sz="4" w:space="0" w:color="auto"/>
              <w:right w:val="single" w:sz="4" w:space="0" w:color="auto"/>
            </w:tcBorders>
            <w:shd w:val="clear" w:color="auto" w:fill="auto"/>
            <w:noWrap/>
            <w:vAlign w:val="center"/>
            <w:hideMark/>
          </w:tcPr>
          <w:p w14:paraId="4BDFC00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MC</w:t>
            </w:r>
          </w:p>
        </w:tc>
        <w:tc>
          <w:tcPr>
            <w:tcW w:w="516" w:type="dxa"/>
            <w:tcBorders>
              <w:top w:val="nil"/>
              <w:left w:val="nil"/>
              <w:bottom w:val="single" w:sz="4" w:space="0" w:color="auto"/>
              <w:right w:val="single" w:sz="4" w:space="0" w:color="auto"/>
            </w:tcBorders>
            <w:shd w:val="clear" w:color="auto" w:fill="auto"/>
            <w:noWrap/>
            <w:vAlign w:val="center"/>
            <w:hideMark/>
          </w:tcPr>
          <w:p w14:paraId="61D5F48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MB</w:t>
            </w:r>
          </w:p>
        </w:tc>
        <w:tc>
          <w:tcPr>
            <w:tcW w:w="1106" w:type="dxa"/>
            <w:tcBorders>
              <w:top w:val="nil"/>
              <w:left w:val="nil"/>
              <w:bottom w:val="single" w:sz="4" w:space="0" w:color="auto"/>
              <w:right w:val="single" w:sz="4" w:space="0" w:color="auto"/>
            </w:tcBorders>
            <w:shd w:val="clear" w:color="auto" w:fill="auto"/>
            <w:noWrap/>
            <w:vAlign w:val="center"/>
            <w:hideMark/>
          </w:tcPr>
          <w:p w14:paraId="6811C24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339" w:type="dxa"/>
            <w:tcBorders>
              <w:top w:val="nil"/>
              <w:left w:val="nil"/>
              <w:bottom w:val="single" w:sz="4" w:space="0" w:color="auto"/>
              <w:right w:val="single" w:sz="4" w:space="0" w:color="auto"/>
            </w:tcBorders>
            <w:shd w:val="clear" w:color="auto" w:fill="auto"/>
            <w:noWrap/>
            <w:vAlign w:val="center"/>
            <w:hideMark/>
          </w:tcPr>
          <w:p w14:paraId="0C57916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c>
          <w:tcPr>
            <w:tcW w:w="1756" w:type="dxa"/>
            <w:tcBorders>
              <w:top w:val="nil"/>
              <w:left w:val="nil"/>
              <w:bottom w:val="single" w:sz="4" w:space="0" w:color="auto"/>
              <w:right w:val="single" w:sz="4" w:space="0" w:color="auto"/>
            </w:tcBorders>
            <w:shd w:val="clear" w:color="auto" w:fill="auto"/>
            <w:noWrap/>
            <w:vAlign w:val="center"/>
            <w:hideMark/>
          </w:tcPr>
          <w:p w14:paraId="16714A26"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0A6F6317"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78F81D8"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7.2 OTA sensitivity</w:t>
            </w:r>
          </w:p>
        </w:tc>
        <w:tc>
          <w:tcPr>
            <w:tcW w:w="511" w:type="dxa"/>
            <w:tcBorders>
              <w:top w:val="nil"/>
              <w:left w:val="nil"/>
              <w:bottom w:val="single" w:sz="4" w:space="0" w:color="auto"/>
              <w:right w:val="single" w:sz="4" w:space="0" w:color="auto"/>
            </w:tcBorders>
            <w:shd w:val="clear" w:color="auto" w:fill="auto"/>
            <w:noWrap/>
            <w:vAlign w:val="center"/>
            <w:hideMark/>
          </w:tcPr>
          <w:p w14:paraId="4774F92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6D8679F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5B03140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202391F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5</w:t>
            </w:r>
          </w:p>
        </w:tc>
        <w:tc>
          <w:tcPr>
            <w:tcW w:w="1339" w:type="dxa"/>
            <w:tcBorders>
              <w:top w:val="nil"/>
              <w:left w:val="nil"/>
              <w:bottom w:val="single" w:sz="4" w:space="0" w:color="auto"/>
              <w:right w:val="single" w:sz="4" w:space="0" w:color="auto"/>
            </w:tcBorders>
            <w:shd w:val="clear" w:color="auto" w:fill="auto"/>
            <w:noWrap/>
            <w:vAlign w:val="center"/>
            <w:hideMark/>
          </w:tcPr>
          <w:p w14:paraId="0FA40A5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32CD836"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3CEB8231"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E392A2A"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7.3 OTA reference sensitivity level</w:t>
            </w:r>
          </w:p>
        </w:tc>
        <w:tc>
          <w:tcPr>
            <w:tcW w:w="511" w:type="dxa"/>
            <w:tcBorders>
              <w:top w:val="nil"/>
              <w:left w:val="nil"/>
              <w:bottom w:val="single" w:sz="4" w:space="0" w:color="auto"/>
              <w:right w:val="single" w:sz="4" w:space="0" w:color="auto"/>
            </w:tcBorders>
            <w:shd w:val="clear" w:color="auto" w:fill="auto"/>
            <w:noWrap/>
            <w:vAlign w:val="center"/>
            <w:hideMark/>
          </w:tcPr>
          <w:p w14:paraId="2213920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3</w:t>
            </w:r>
          </w:p>
        </w:tc>
        <w:tc>
          <w:tcPr>
            <w:tcW w:w="528" w:type="dxa"/>
            <w:tcBorders>
              <w:top w:val="nil"/>
              <w:left w:val="nil"/>
              <w:bottom w:val="single" w:sz="4" w:space="0" w:color="auto"/>
              <w:right w:val="single" w:sz="4" w:space="0" w:color="auto"/>
            </w:tcBorders>
            <w:shd w:val="clear" w:color="auto" w:fill="auto"/>
            <w:noWrap/>
            <w:vAlign w:val="center"/>
            <w:hideMark/>
          </w:tcPr>
          <w:p w14:paraId="63D611A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266FF7D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30844B46"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5</w:t>
            </w:r>
          </w:p>
        </w:tc>
        <w:tc>
          <w:tcPr>
            <w:tcW w:w="1339" w:type="dxa"/>
            <w:tcBorders>
              <w:top w:val="nil"/>
              <w:left w:val="nil"/>
              <w:bottom w:val="single" w:sz="4" w:space="0" w:color="auto"/>
              <w:right w:val="single" w:sz="4" w:space="0" w:color="auto"/>
            </w:tcBorders>
            <w:shd w:val="clear" w:color="auto" w:fill="auto"/>
            <w:noWrap/>
            <w:vAlign w:val="center"/>
            <w:hideMark/>
          </w:tcPr>
          <w:p w14:paraId="5E48978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1EA848B"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1C05F5A6"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1EE6665"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 xml:space="preserve">7.4 OTA dynamic range </w:t>
            </w:r>
          </w:p>
        </w:tc>
        <w:tc>
          <w:tcPr>
            <w:tcW w:w="511" w:type="dxa"/>
            <w:tcBorders>
              <w:top w:val="nil"/>
              <w:left w:val="nil"/>
              <w:bottom w:val="single" w:sz="4" w:space="0" w:color="auto"/>
              <w:right w:val="single" w:sz="4" w:space="0" w:color="auto"/>
            </w:tcBorders>
            <w:shd w:val="clear" w:color="auto" w:fill="auto"/>
            <w:noWrap/>
            <w:vAlign w:val="center"/>
            <w:hideMark/>
          </w:tcPr>
          <w:p w14:paraId="21DB0D4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6B9A304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153B879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27CE47E9"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2FA9802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14A5143C"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4DE39270"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BADAF75"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7.5.1 OTA adjacent channel selectivity</w:t>
            </w:r>
          </w:p>
        </w:tc>
        <w:tc>
          <w:tcPr>
            <w:tcW w:w="511" w:type="dxa"/>
            <w:tcBorders>
              <w:top w:val="nil"/>
              <w:left w:val="nil"/>
              <w:bottom w:val="single" w:sz="4" w:space="0" w:color="auto"/>
              <w:right w:val="single" w:sz="4" w:space="0" w:color="auto"/>
            </w:tcBorders>
            <w:shd w:val="clear" w:color="auto" w:fill="auto"/>
            <w:noWrap/>
            <w:vAlign w:val="center"/>
            <w:hideMark/>
          </w:tcPr>
          <w:p w14:paraId="4130E04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0B1946F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63C4EBB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1492BD5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5C769CD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4D6C46C3"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41D11750"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E75A63C"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7.5.2 In-band blocking (General)</w:t>
            </w:r>
          </w:p>
        </w:tc>
        <w:tc>
          <w:tcPr>
            <w:tcW w:w="51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77139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36EF0E"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DC148"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6CAEC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5</w:t>
            </w:r>
          </w:p>
        </w:tc>
        <w:tc>
          <w:tcPr>
            <w:tcW w:w="13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7A47B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281ED4A9"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3A858E8B"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0D782039"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7.5.2 In-band blocking (Narrowband)</w:t>
            </w:r>
          </w:p>
        </w:tc>
        <w:tc>
          <w:tcPr>
            <w:tcW w:w="511" w:type="dxa"/>
            <w:vMerge/>
            <w:tcBorders>
              <w:top w:val="nil"/>
              <w:left w:val="single" w:sz="4" w:space="0" w:color="auto"/>
              <w:bottom w:val="single" w:sz="4" w:space="0" w:color="auto"/>
              <w:right w:val="single" w:sz="4" w:space="0" w:color="auto"/>
            </w:tcBorders>
            <w:vAlign w:val="center"/>
            <w:hideMark/>
          </w:tcPr>
          <w:p w14:paraId="5478DB1C" w14:textId="77777777" w:rsidR="00297F52" w:rsidRPr="00297F52" w:rsidRDefault="00297F52" w:rsidP="00297F52">
            <w:pPr>
              <w:spacing w:after="0"/>
              <w:rPr>
                <w:rFonts w:ascii="Arial" w:eastAsia="SimSun" w:hAnsi="Arial" w:cs="Arial"/>
                <w:color w:val="000000"/>
                <w:lang w:val="en-US" w:eastAsia="zh-CN"/>
              </w:rPr>
            </w:pPr>
          </w:p>
        </w:tc>
        <w:tc>
          <w:tcPr>
            <w:tcW w:w="528" w:type="dxa"/>
            <w:vMerge/>
            <w:tcBorders>
              <w:top w:val="nil"/>
              <w:left w:val="single" w:sz="4" w:space="0" w:color="auto"/>
              <w:bottom w:val="single" w:sz="4" w:space="0" w:color="auto"/>
              <w:right w:val="single" w:sz="4" w:space="0" w:color="auto"/>
            </w:tcBorders>
            <w:vAlign w:val="center"/>
            <w:hideMark/>
          </w:tcPr>
          <w:p w14:paraId="3B7AA80D" w14:textId="77777777" w:rsidR="00297F52" w:rsidRPr="00297F52" w:rsidRDefault="00297F52" w:rsidP="00297F52">
            <w:pPr>
              <w:spacing w:after="0"/>
              <w:rPr>
                <w:rFonts w:ascii="Arial" w:eastAsia="SimSun" w:hAnsi="Arial" w:cs="Arial"/>
                <w:color w:val="000000"/>
                <w:lang w:val="en-US" w:eastAsia="zh-CN"/>
              </w:rPr>
            </w:pPr>
          </w:p>
        </w:tc>
        <w:tc>
          <w:tcPr>
            <w:tcW w:w="516" w:type="dxa"/>
            <w:vMerge/>
            <w:tcBorders>
              <w:top w:val="nil"/>
              <w:left w:val="single" w:sz="4" w:space="0" w:color="auto"/>
              <w:bottom w:val="single" w:sz="4" w:space="0" w:color="auto"/>
              <w:right w:val="single" w:sz="4" w:space="0" w:color="auto"/>
            </w:tcBorders>
            <w:vAlign w:val="center"/>
            <w:hideMark/>
          </w:tcPr>
          <w:p w14:paraId="6B8DBD42" w14:textId="77777777" w:rsidR="00297F52" w:rsidRPr="00297F52" w:rsidRDefault="00297F52" w:rsidP="00297F52">
            <w:pPr>
              <w:spacing w:after="0"/>
              <w:rPr>
                <w:rFonts w:ascii="Arial" w:eastAsia="SimSun" w:hAnsi="Arial" w:cs="Arial"/>
                <w:color w:val="000000"/>
                <w:lang w:val="en-US" w:eastAsia="zh-CN"/>
              </w:rPr>
            </w:pPr>
          </w:p>
        </w:tc>
        <w:tc>
          <w:tcPr>
            <w:tcW w:w="1106" w:type="dxa"/>
            <w:vMerge/>
            <w:tcBorders>
              <w:top w:val="nil"/>
              <w:left w:val="single" w:sz="4" w:space="0" w:color="auto"/>
              <w:bottom w:val="single" w:sz="4" w:space="0" w:color="auto"/>
              <w:right w:val="single" w:sz="4" w:space="0" w:color="auto"/>
            </w:tcBorders>
            <w:vAlign w:val="center"/>
            <w:hideMark/>
          </w:tcPr>
          <w:p w14:paraId="37A27235" w14:textId="77777777" w:rsidR="00297F52" w:rsidRPr="00297F52" w:rsidRDefault="00297F52" w:rsidP="00297F52">
            <w:pPr>
              <w:spacing w:after="0"/>
              <w:rPr>
                <w:rFonts w:ascii="Arial" w:eastAsia="SimSun" w:hAnsi="Arial" w:cs="Arial"/>
                <w:color w:val="000000"/>
                <w:lang w:val="en-US" w:eastAsia="zh-CN"/>
              </w:rPr>
            </w:pPr>
          </w:p>
        </w:tc>
        <w:tc>
          <w:tcPr>
            <w:tcW w:w="1339" w:type="dxa"/>
            <w:vMerge/>
            <w:tcBorders>
              <w:top w:val="nil"/>
              <w:left w:val="single" w:sz="4" w:space="0" w:color="auto"/>
              <w:bottom w:val="single" w:sz="4" w:space="0" w:color="auto"/>
              <w:right w:val="single" w:sz="4" w:space="0" w:color="auto"/>
            </w:tcBorders>
            <w:vAlign w:val="center"/>
            <w:hideMark/>
          </w:tcPr>
          <w:p w14:paraId="6E041E03" w14:textId="77777777" w:rsidR="00297F52" w:rsidRPr="00297F52" w:rsidRDefault="00297F52" w:rsidP="00297F52">
            <w:pPr>
              <w:spacing w:after="0"/>
              <w:rPr>
                <w:rFonts w:ascii="Arial" w:eastAsia="SimSun" w:hAnsi="Arial" w:cs="Arial"/>
                <w:color w:val="000000"/>
                <w:lang w:val="en-US" w:eastAsia="zh-CN"/>
              </w:rPr>
            </w:pPr>
          </w:p>
        </w:tc>
        <w:tc>
          <w:tcPr>
            <w:tcW w:w="1756" w:type="dxa"/>
            <w:tcBorders>
              <w:top w:val="nil"/>
              <w:left w:val="nil"/>
              <w:bottom w:val="single" w:sz="4" w:space="0" w:color="auto"/>
              <w:right w:val="single" w:sz="4" w:space="0" w:color="auto"/>
            </w:tcBorders>
            <w:shd w:val="clear" w:color="auto" w:fill="auto"/>
            <w:noWrap/>
            <w:vAlign w:val="center"/>
            <w:hideMark/>
          </w:tcPr>
          <w:p w14:paraId="2F005339"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336807AF"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0BA465C"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7.6 OTA out-of-band blocking (General)</w:t>
            </w:r>
          </w:p>
        </w:tc>
        <w:tc>
          <w:tcPr>
            <w:tcW w:w="511" w:type="dxa"/>
            <w:tcBorders>
              <w:top w:val="nil"/>
              <w:left w:val="nil"/>
              <w:bottom w:val="single" w:sz="4" w:space="0" w:color="auto"/>
              <w:right w:val="single" w:sz="4" w:space="0" w:color="auto"/>
            </w:tcBorders>
            <w:shd w:val="clear" w:color="auto" w:fill="auto"/>
            <w:noWrap/>
            <w:vAlign w:val="center"/>
            <w:hideMark/>
          </w:tcPr>
          <w:p w14:paraId="752A056B"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681EDD7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032236C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529B69D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2F396F19"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4967EFD1"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22BA2FB5"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8FB877C"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7.6 OTA out-of-band blocking (Co-location)</w:t>
            </w:r>
          </w:p>
        </w:tc>
        <w:tc>
          <w:tcPr>
            <w:tcW w:w="511" w:type="dxa"/>
            <w:tcBorders>
              <w:top w:val="nil"/>
              <w:left w:val="nil"/>
              <w:bottom w:val="single" w:sz="4" w:space="0" w:color="auto"/>
              <w:right w:val="single" w:sz="4" w:space="0" w:color="auto"/>
            </w:tcBorders>
            <w:shd w:val="clear" w:color="auto" w:fill="auto"/>
            <w:noWrap/>
            <w:vAlign w:val="center"/>
            <w:hideMark/>
          </w:tcPr>
          <w:p w14:paraId="248981C1"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4A439D8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1F0045A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687BDA52"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72737BC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535FF15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CL</w:t>
            </w:r>
          </w:p>
        </w:tc>
      </w:tr>
      <w:tr w:rsidR="00297F52" w:rsidRPr="00297F52" w14:paraId="4048FAAB"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BC506D2"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val="de-DE" w:eastAsia="zh-CN"/>
              </w:rPr>
              <w:t xml:space="preserve">7.7 OTA receiver spurious emissions </w:t>
            </w:r>
          </w:p>
        </w:tc>
        <w:tc>
          <w:tcPr>
            <w:tcW w:w="511" w:type="dxa"/>
            <w:tcBorders>
              <w:top w:val="nil"/>
              <w:left w:val="nil"/>
              <w:bottom w:val="single" w:sz="4" w:space="0" w:color="auto"/>
              <w:right w:val="single" w:sz="4" w:space="0" w:color="auto"/>
            </w:tcBorders>
            <w:shd w:val="clear" w:color="auto" w:fill="auto"/>
            <w:noWrap/>
            <w:vAlign w:val="center"/>
            <w:hideMark/>
          </w:tcPr>
          <w:p w14:paraId="30A39ED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011CEA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16311AF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74E3F760"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68961DED"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6206F745"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TRP</w:t>
            </w:r>
          </w:p>
        </w:tc>
      </w:tr>
      <w:tr w:rsidR="00297F52" w:rsidRPr="00297F52" w14:paraId="3E17B781"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4AC53B7A"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val="de-DE" w:eastAsia="zh-CN"/>
              </w:rPr>
              <w:t>7.8 OTA receiver intermodulation</w:t>
            </w:r>
          </w:p>
        </w:tc>
        <w:tc>
          <w:tcPr>
            <w:tcW w:w="511" w:type="dxa"/>
            <w:tcBorders>
              <w:top w:val="nil"/>
              <w:left w:val="nil"/>
              <w:bottom w:val="single" w:sz="4" w:space="0" w:color="auto"/>
              <w:right w:val="single" w:sz="4" w:space="0" w:color="auto"/>
            </w:tcBorders>
            <w:shd w:val="clear" w:color="auto" w:fill="auto"/>
            <w:noWrap/>
            <w:vAlign w:val="center"/>
            <w:hideMark/>
          </w:tcPr>
          <w:p w14:paraId="0B878A7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69D8CF1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16" w:type="dxa"/>
            <w:tcBorders>
              <w:top w:val="nil"/>
              <w:left w:val="nil"/>
              <w:bottom w:val="single" w:sz="4" w:space="0" w:color="auto"/>
              <w:right w:val="single" w:sz="4" w:space="0" w:color="auto"/>
            </w:tcBorders>
            <w:shd w:val="clear" w:color="auto" w:fill="auto"/>
            <w:noWrap/>
            <w:vAlign w:val="center"/>
            <w:hideMark/>
          </w:tcPr>
          <w:p w14:paraId="3D8CFAC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106" w:type="dxa"/>
            <w:tcBorders>
              <w:top w:val="nil"/>
              <w:left w:val="nil"/>
              <w:bottom w:val="single" w:sz="4" w:space="0" w:color="auto"/>
              <w:right w:val="single" w:sz="4" w:space="0" w:color="auto"/>
            </w:tcBorders>
            <w:shd w:val="clear" w:color="auto" w:fill="auto"/>
            <w:noWrap/>
            <w:vAlign w:val="center"/>
            <w:hideMark/>
          </w:tcPr>
          <w:p w14:paraId="647E375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2</w:t>
            </w:r>
          </w:p>
        </w:tc>
        <w:tc>
          <w:tcPr>
            <w:tcW w:w="1339" w:type="dxa"/>
            <w:tcBorders>
              <w:top w:val="nil"/>
              <w:left w:val="nil"/>
              <w:bottom w:val="single" w:sz="4" w:space="0" w:color="auto"/>
              <w:right w:val="single" w:sz="4" w:space="0" w:color="auto"/>
            </w:tcBorders>
            <w:shd w:val="clear" w:color="auto" w:fill="auto"/>
            <w:noWrap/>
            <w:vAlign w:val="center"/>
            <w:hideMark/>
          </w:tcPr>
          <w:p w14:paraId="591E7054"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7FC83149"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r w:rsidR="00297F52" w:rsidRPr="00297F52" w14:paraId="793FAC8D" w14:textId="77777777" w:rsidTr="00297F52">
        <w:trPr>
          <w:trHeight w:val="255"/>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EE79E9D" w14:textId="77777777" w:rsidR="00297F52" w:rsidRPr="00297F52" w:rsidRDefault="00297F52" w:rsidP="00297F52">
            <w:pPr>
              <w:spacing w:after="0"/>
              <w:rPr>
                <w:rFonts w:ascii="Arial" w:eastAsia="SimSun" w:hAnsi="Arial" w:cs="Arial"/>
                <w:color w:val="000000"/>
                <w:sz w:val="18"/>
                <w:szCs w:val="18"/>
                <w:lang w:val="en-US" w:eastAsia="zh-CN"/>
              </w:rPr>
            </w:pPr>
            <w:r w:rsidRPr="00297F52">
              <w:rPr>
                <w:rFonts w:ascii="Arial" w:eastAsia="SimSun" w:hAnsi="Arial" w:cs="Arial"/>
                <w:color w:val="000000"/>
                <w:sz w:val="18"/>
                <w:szCs w:val="18"/>
                <w:lang w:eastAsia="zh-CN"/>
              </w:rPr>
              <w:t xml:space="preserve">7.9 OTA in-channel selectivity </w:t>
            </w:r>
          </w:p>
        </w:tc>
        <w:tc>
          <w:tcPr>
            <w:tcW w:w="511" w:type="dxa"/>
            <w:tcBorders>
              <w:top w:val="nil"/>
              <w:left w:val="nil"/>
              <w:bottom w:val="single" w:sz="4" w:space="0" w:color="auto"/>
              <w:right w:val="single" w:sz="4" w:space="0" w:color="auto"/>
            </w:tcBorders>
            <w:shd w:val="clear" w:color="auto" w:fill="auto"/>
            <w:noWrap/>
            <w:vAlign w:val="center"/>
            <w:hideMark/>
          </w:tcPr>
          <w:p w14:paraId="06BCC335"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528" w:type="dxa"/>
            <w:tcBorders>
              <w:top w:val="nil"/>
              <w:left w:val="nil"/>
              <w:bottom w:val="single" w:sz="4" w:space="0" w:color="auto"/>
              <w:right w:val="single" w:sz="4" w:space="0" w:color="auto"/>
            </w:tcBorders>
            <w:shd w:val="clear" w:color="auto" w:fill="auto"/>
            <w:noWrap/>
            <w:vAlign w:val="center"/>
            <w:hideMark/>
          </w:tcPr>
          <w:p w14:paraId="12997763"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516" w:type="dxa"/>
            <w:tcBorders>
              <w:top w:val="nil"/>
              <w:left w:val="nil"/>
              <w:bottom w:val="single" w:sz="4" w:space="0" w:color="auto"/>
              <w:right w:val="single" w:sz="4" w:space="0" w:color="auto"/>
            </w:tcBorders>
            <w:shd w:val="clear" w:color="auto" w:fill="auto"/>
            <w:noWrap/>
            <w:vAlign w:val="center"/>
            <w:hideMark/>
          </w:tcPr>
          <w:p w14:paraId="2485CE1C"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x</w:t>
            </w:r>
          </w:p>
        </w:tc>
        <w:tc>
          <w:tcPr>
            <w:tcW w:w="1106" w:type="dxa"/>
            <w:tcBorders>
              <w:top w:val="nil"/>
              <w:left w:val="nil"/>
              <w:bottom w:val="single" w:sz="4" w:space="0" w:color="auto"/>
              <w:right w:val="single" w:sz="4" w:space="0" w:color="auto"/>
            </w:tcBorders>
            <w:shd w:val="clear" w:color="auto" w:fill="auto"/>
            <w:noWrap/>
            <w:vAlign w:val="center"/>
            <w:hideMark/>
          </w:tcPr>
          <w:p w14:paraId="3C40C40A"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339" w:type="dxa"/>
            <w:tcBorders>
              <w:top w:val="nil"/>
              <w:left w:val="nil"/>
              <w:bottom w:val="single" w:sz="4" w:space="0" w:color="auto"/>
              <w:right w:val="single" w:sz="4" w:space="0" w:color="auto"/>
            </w:tcBorders>
            <w:shd w:val="clear" w:color="auto" w:fill="auto"/>
            <w:noWrap/>
            <w:vAlign w:val="center"/>
            <w:hideMark/>
          </w:tcPr>
          <w:p w14:paraId="1BAD927F" w14:textId="77777777" w:rsidR="00297F52" w:rsidRPr="00297F52" w:rsidRDefault="00297F52" w:rsidP="00297F52">
            <w:pPr>
              <w:spacing w:after="0"/>
              <w:jc w:val="center"/>
              <w:rPr>
                <w:rFonts w:ascii="Arial" w:eastAsia="SimSun" w:hAnsi="Arial" w:cs="Arial"/>
                <w:color w:val="000000"/>
                <w:lang w:val="en-US" w:eastAsia="zh-CN"/>
              </w:rPr>
            </w:pPr>
            <w:r w:rsidRPr="00297F52">
              <w:rPr>
                <w:rFonts w:ascii="Arial" w:eastAsia="SimSun" w:hAnsi="Arial" w:cs="Arial"/>
                <w:color w:val="000000"/>
                <w:lang w:val="en-US" w:eastAsia="zh-CN"/>
              </w:rPr>
              <w:t>1</w:t>
            </w:r>
          </w:p>
        </w:tc>
        <w:tc>
          <w:tcPr>
            <w:tcW w:w="1756" w:type="dxa"/>
            <w:tcBorders>
              <w:top w:val="nil"/>
              <w:left w:val="nil"/>
              <w:bottom w:val="single" w:sz="4" w:space="0" w:color="auto"/>
              <w:right w:val="single" w:sz="4" w:space="0" w:color="auto"/>
            </w:tcBorders>
            <w:shd w:val="clear" w:color="auto" w:fill="auto"/>
            <w:noWrap/>
            <w:vAlign w:val="center"/>
            <w:hideMark/>
          </w:tcPr>
          <w:p w14:paraId="6CD9C3F6" w14:textId="77777777" w:rsidR="00297F52" w:rsidRPr="00297F52" w:rsidRDefault="00297F52" w:rsidP="00297F52">
            <w:pPr>
              <w:spacing w:after="0"/>
              <w:rPr>
                <w:rFonts w:ascii="Arial" w:eastAsia="SimSun" w:hAnsi="Arial" w:cs="Arial"/>
                <w:color w:val="000000"/>
                <w:lang w:val="en-US" w:eastAsia="zh-CN"/>
              </w:rPr>
            </w:pPr>
            <w:r w:rsidRPr="00297F52">
              <w:rPr>
                <w:rFonts w:ascii="Arial" w:eastAsia="SimSun" w:hAnsi="Arial" w:cs="Arial"/>
                <w:color w:val="000000"/>
                <w:lang w:val="en-US" w:eastAsia="zh-CN"/>
              </w:rPr>
              <w:t xml:space="preserve">　</w:t>
            </w:r>
          </w:p>
        </w:tc>
      </w:tr>
    </w:tbl>
    <w:p w14:paraId="0FD300E1" w14:textId="77777777" w:rsidR="007D453A" w:rsidRDefault="007D453A" w:rsidP="00E21E55"/>
    <w:p w14:paraId="09A72F34" w14:textId="1B861A9B" w:rsidR="001044EF" w:rsidRDefault="00AD44E4" w:rsidP="00E21E55">
      <w:r>
        <w:rPr>
          <w:rFonts w:hint="eastAsia"/>
        </w:rPr>
        <w:t>T</w:t>
      </w:r>
      <w:r>
        <w:t>he receiver has many more directional tests than the transmitter. With the exception of the OTA reference sensitivity they are all reduced to only being tested at a single channel. OTA reference sensitivity is also tested at 5 directions, as such has 15 test points. Whilst this is the largest contributor it makes sense to test at least the sensitivity across the band hence this cannot be reduced.</w:t>
      </w:r>
    </w:p>
    <w:p w14:paraId="02B76C00" w14:textId="23BE2CF3" w:rsidR="00AD44E4" w:rsidRDefault="00AD44E4" w:rsidP="00E21E55">
      <w:r>
        <w:t>Two other requirements are tested at 5 directions, OTA sensitivity, and In-band blocking:</w:t>
      </w:r>
    </w:p>
    <w:p w14:paraId="51CF230B" w14:textId="066BBA5A" w:rsidR="00AD44E4" w:rsidRDefault="00AD44E4" w:rsidP="00AD44E4">
      <w:pPr>
        <w:ind w:leftChars="100" w:left="200"/>
      </w:pPr>
      <w:r>
        <w:t>OTA sensitivity test the extremes of the declared receiver RoAoA, no other test doe this (OTA Sensitivity RoAoA may be different). As it is important to test the receiver spatial performance these test directions should be kept.</w:t>
      </w:r>
    </w:p>
    <w:p w14:paraId="33E62C9E" w14:textId="0D6B4A62" w:rsidR="00AD44E4" w:rsidRDefault="00AD44E4" w:rsidP="00AD44E4">
      <w:pPr>
        <w:ind w:leftChars="100" w:left="200"/>
      </w:pPr>
      <w:r>
        <w:t xml:space="preserve">The In-band blocking requirement </w:t>
      </w:r>
      <w:r w:rsidR="00061ABC">
        <w:t>is applicable to both OTA minSENS and OTA REFSENS the current directions are the reference value for OTA minSENS and the extreme for OTAREFSENS, Out of band clocking has a similar reference and test at only 2 directions (reference for both minSENS and REFSENS). Testing at OTA RFSENS the worst case is when the interferer is as high as possible, as such it is possible that the reference direction could be tested instead of the 4 extreme directions.</w:t>
      </w:r>
    </w:p>
    <w:p w14:paraId="5E7D2019" w14:textId="0F154437" w:rsidR="00AD44E4" w:rsidRDefault="00061ABC" w:rsidP="00E21E55">
      <w:r>
        <w:t>Receiver unwanted emissions is only tested at a sing</w:t>
      </w:r>
      <w:r w:rsidR="007F1CE7">
        <w:t>l</w:t>
      </w:r>
      <w:r>
        <w:t>e test point already as are eth co-location clocking requirements.</w:t>
      </w:r>
    </w:p>
    <w:p w14:paraId="6E675F15" w14:textId="60588355" w:rsidR="00061ABC" w:rsidRDefault="00061ABC" w:rsidP="00E21E55">
      <w:r w:rsidRPr="00061ABC">
        <w:rPr>
          <w:b/>
        </w:rPr>
        <w:t>Observation 4:</w:t>
      </w:r>
      <w:r>
        <w:t xml:space="preserve"> the only scope for reducing the number of receiver test case is in-band blocking where the number of directions is reduced from 5 to 2.</w:t>
      </w:r>
    </w:p>
    <w:p w14:paraId="245E18CD" w14:textId="2FDBCDE9" w:rsidR="007F1CE7" w:rsidRDefault="007F1CE7" w:rsidP="007F1CE7">
      <w:pPr>
        <w:pStyle w:val="Heading3"/>
      </w:pPr>
      <w:r>
        <w:t>2.1.3</w:t>
      </w:r>
      <w:r>
        <w:tab/>
        <w:t>IAB-MT</w:t>
      </w:r>
    </w:p>
    <w:p w14:paraId="4BF71644" w14:textId="152E55B5" w:rsidR="007F1CE7" w:rsidRDefault="007F1CE7" w:rsidP="00E21E55">
      <w:r>
        <w:t>The IAB-MT shares many similarities in terms of requirements with the BS and the IAB-DU. In many cases the requirements are identical. For these requirements then the IAB-DU should have the same test coverage as the BS/IAB-DU</w:t>
      </w:r>
      <w:r>
        <w:rPr>
          <w:rFonts w:hint="eastAsia"/>
        </w:rPr>
        <w:t>.</w:t>
      </w:r>
    </w:p>
    <w:p w14:paraId="571B1B19" w14:textId="7EC8B2EF" w:rsidR="007F1CE7" w:rsidRDefault="007F1CE7" w:rsidP="00E21E55">
      <w:r>
        <w:t>For requires which differ slightly (i.e. the modulation based requirements) then there is sufficient similarity that the same test frequencies and directions (if applicable) as the BS should be applied, unless any reason is found why this cannot be done.</w:t>
      </w:r>
    </w:p>
    <w:p w14:paraId="03AF1511" w14:textId="69301866" w:rsidR="007F1CE7" w:rsidRDefault="007F1CE7" w:rsidP="007F1CE7">
      <w:pPr>
        <w:pStyle w:val="Heading2"/>
      </w:pPr>
      <w:r>
        <w:t>2.2</w:t>
      </w:r>
      <w:r>
        <w:tab/>
        <w:t>Shared architecture</w:t>
      </w:r>
    </w:p>
    <w:p w14:paraId="7524EB26" w14:textId="5E7B9389" w:rsidR="007F1CE7" w:rsidRDefault="007F1CE7" w:rsidP="007F1CE7">
      <w:r>
        <w:rPr>
          <w:rFonts w:hint="eastAsia"/>
        </w:rPr>
        <w:t>I</w:t>
      </w:r>
      <w:r>
        <w:t xml:space="preserve">n most cases the IAB-DU and the IAB-MT have almost the same requirements, if </w:t>
      </w:r>
      <w:r w:rsidR="00E0075C">
        <w:t xml:space="preserve">a shared architecture is used (with the same RF HW; amplifiers, filers etc..) then there is no need to test the equipment twice with the same requirements. </w:t>
      </w:r>
    </w:p>
    <w:p w14:paraId="45D7DB7E" w14:textId="4DC2EEE0" w:rsidR="00E0075C" w:rsidRDefault="00E0075C" w:rsidP="007F1CE7">
      <w:r>
        <w:lastRenderedPageBreak/>
        <w:t>Clearly for emissions requirements the limits are the same, however it would be expected that a different test model would be used depending on if the HW is used as a</w:t>
      </w:r>
      <w:r w:rsidR="001840BD">
        <w:t>n</w:t>
      </w:r>
      <w:r>
        <w:t xml:space="preserve"> IAB-DU (DL) or an IAB-MT (UL). </w:t>
      </w:r>
      <w:r w:rsidR="001840BD">
        <w:t xml:space="preserve">It would of course be necessary that the shared HW was being operated in the same way (PA bias levels, gain distribution etc). </w:t>
      </w:r>
      <w:r>
        <w:t xml:space="preserve">For most </w:t>
      </w:r>
      <w:r w:rsidR="001840BD">
        <w:t>emissions</w:t>
      </w:r>
      <w:r>
        <w:t xml:space="preserve"> and </w:t>
      </w:r>
      <w:r w:rsidR="001840BD">
        <w:t>emissions</w:t>
      </w:r>
      <w:r>
        <w:t xml:space="preserve"> </w:t>
      </w:r>
      <w:r w:rsidR="001840BD">
        <w:t>linearity</w:t>
      </w:r>
      <w:r>
        <w:t xml:space="preserve"> </w:t>
      </w:r>
      <w:r w:rsidR="001840BD">
        <w:t>requirements</w:t>
      </w:r>
      <w:r>
        <w:t xml:space="preserve"> </w:t>
      </w:r>
      <w:r w:rsidR="001840BD">
        <w:t>however</w:t>
      </w:r>
      <w:r>
        <w:t xml:space="preserve"> it is the average power and the PAR (Peak to average ratio) of the test signal which is important. </w:t>
      </w:r>
      <w:r w:rsidR="001840BD">
        <w:t>It would be sufficient to test the worst case test model (highest power, largest PAR etc..).</w:t>
      </w:r>
    </w:p>
    <w:p w14:paraId="4DE17D4C" w14:textId="195A6635" w:rsidR="001840BD" w:rsidRDefault="001840BD" w:rsidP="000925FA">
      <w:r>
        <w:t xml:space="preserve">For modulation specific requirements then each should be taken case by case. But in </w:t>
      </w:r>
      <w:r w:rsidR="000925FA">
        <w:t>general</w:t>
      </w:r>
      <w:r>
        <w:t xml:space="preserve"> if the </w:t>
      </w:r>
      <w:r w:rsidR="000925FA">
        <w:t>BS test</w:t>
      </w:r>
      <w:r>
        <w:t xml:space="preserve"> the RF performance of the HW then </w:t>
      </w:r>
      <w:r w:rsidR="000925FA">
        <w:t>there</w:t>
      </w:r>
      <w:r>
        <w:t xml:space="preserve"> is no need to repeat this test. For modulation based tests (</w:t>
      </w:r>
      <w:r w:rsidR="000925FA">
        <w:t xml:space="preserve">for example; </w:t>
      </w:r>
      <w:r>
        <w:t>EVM in IAB-MT UL, and RX sensitivity in IAB-MT DL</w:t>
      </w:r>
      <w:r w:rsidR="000925FA">
        <w:t>) the ability of the IAB-MT to either modulate or demodulate the correct test model should be tested but there is no need to confirm all the RF parameters and hence a single direction and a single channel is sufficient.</w:t>
      </w:r>
    </w:p>
    <w:p w14:paraId="0E27F745" w14:textId="2373E370" w:rsidR="008F2CEB" w:rsidRDefault="00B350C7" w:rsidP="008F2CEB">
      <w:pPr>
        <w:pStyle w:val="Heading1"/>
        <w:numPr>
          <w:ilvl w:val="0"/>
          <w:numId w:val="1"/>
        </w:numPr>
        <w:rPr>
          <w:lang w:val="en-US"/>
        </w:rPr>
      </w:pPr>
      <w:r>
        <w:rPr>
          <w:lang w:val="en-US"/>
        </w:rPr>
        <w:t>Summary</w:t>
      </w:r>
    </w:p>
    <w:p w14:paraId="65FDEB53" w14:textId="4AC5DE92" w:rsidR="009F6FF1" w:rsidRDefault="00061ABC" w:rsidP="009F6FF1">
      <w:r>
        <w:t xml:space="preserve">This paper looks at </w:t>
      </w:r>
      <w:r w:rsidR="000925FA">
        <w:t>the possible methods to reduce the test burden on the IAB-DU and IAB-MT, as identified in [2].</w:t>
      </w:r>
    </w:p>
    <w:p w14:paraId="0E1D9711" w14:textId="53408BBF" w:rsidR="000925FA" w:rsidRDefault="000925FA" w:rsidP="009F6FF1">
      <w:r>
        <w:t>With regards limiting the number of channels and direction tested the current BS coverage has been analysis and the following observations made:</w:t>
      </w:r>
    </w:p>
    <w:p w14:paraId="246018B4" w14:textId="77777777" w:rsidR="000925FA" w:rsidRDefault="000925FA" w:rsidP="000925FA">
      <w:pPr>
        <w:ind w:leftChars="100" w:left="200"/>
      </w:pPr>
      <w:r w:rsidRPr="001044EF">
        <w:rPr>
          <w:rFonts w:hint="eastAsia"/>
          <w:b/>
        </w:rPr>
        <w:t>O</w:t>
      </w:r>
      <w:r w:rsidRPr="001044EF">
        <w:rPr>
          <w:b/>
        </w:rPr>
        <w:t xml:space="preserve">bservation 1: </w:t>
      </w:r>
      <w:r>
        <w:t>There is very little scope to reduce the number of Tx directions/channels in the existing BS transmitter directional requirements test coverage.</w:t>
      </w:r>
    </w:p>
    <w:p w14:paraId="0786544F" w14:textId="77777777" w:rsidR="000925FA" w:rsidRDefault="000925FA" w:rsidP="000925FA">
      <w:pPr>
        <w:ind w:leftChars="100" w:left="200"/>
      </w:pPr>
      <w:r w:rsidRPr="001044EF">
        <w:rPr>
          <w:b/>
        </w:rPr>
        <w:t>Observation 2:</w:t>
      </w:r>
      <w:r>
        <w:t xml:space="preserve"> There is limited scope to reduce the number of channels for some transmitter TRP measurements but as these requirements are linked to regulatory limits the small gain in testing time does not justify the test coverage reduction.</w:t>
      </w:r>
    </w:p>
    <w:p w14:paraId="56F8B166" w14:textId="77777777" w:rsidR="000925FA" w:rsidRPr="00297F52" w:rsidRDefault="000925FA" w:rsidP="000925FA">
      <w:pPr>
        <w:ind w:leftChars="100" w:left="200"/>
      </w:pPr>
      <w:r w:rsidRPr="001044EF">
        <w:rPr>
          <w:b/>
        </w:rPr>
        <w:t>Observation 3:</w:t>
      </w:r>
      <w:r>
        <w:t xml:space="preserve"> There is no scope to further reduce the co-location test coverage.</w:t>
      </w:r>
    </w:p>
    <w:p w14:paraId="5CDB3E8C" w14:textId="77777777" w:rsidR="000925FA" w:rsidRDefault="000925FA" w:rsidP="000925FA">
      <w:pPr>
        <w:ind w:leftChars="100" w:left="200"/>
      </w:pPr>
      <w:r w:rsidRPr="00061ABC">
        <w:rPr>
          <w:b/>
        </w:rPr>
        <w:t>Observation 4:</w:t>
      </w:r>
      <w:r>
        <w:t xml:space="preserve"> the only scope for reducing the number of receiver test case is in-band blocking where the number of directions is reduced from 5 to 2.</w:t>
      </w:r>
    </w:p>
    <w:p w14:paraId="4EE0A8AF" w14:textId="1CBED775" w:rsidR="000925FA" w:rsidRPr="000925FA" w:rsidRDefault="000925FA" w:rsidP="009F6FF1">
      <w:r>
        <w:rPr>
          <w:rFonts w:hint="eastAsia"/>
        </w:rPr>
        <w:t>O</w:t>
      </w:r>
      <w:r>
        <w:t>nly a single potential reduction has been identified in the in-band blocking requirement. The potential time reduction for this seems less valuable than the advantage of maintaining compatibility with the BS test specs.</w:t>
      </w:r>
    </w:p>
    <w:p w14:paraId="7FED6D75" w14:textId="1C934912" w:rsidR="002409F3" w:rsidRPr="00B438D5" w:rsidRDefault="000925FA" w:rsidP="00922F2C">
      <w:r>
        <w:t>The IAB-MT test coverage should be the same as the IAB-DU, in the case of shared architecture test with common requirements (such as spurious emissions) need only be carried out once using the worst case test models.</w:t>
      </w:r>
    </w:p>
    <w:p w14:paraId="1974B869" w14:textId="6DC0E6D2" w:rsidR="003C32D4" w:rsidRDefault="003C32D4" w:rsidP="004D4F95">
      <w:pPr>
        <w:pStyle w:val="Heading1"/>
        <w:numPr>
          <w:ilvl w:val="0"/>
          <w:numId w:val="1"/>
        </w:numPr>
      </w:pPr>
      <w:r>
        <w:rPr>
          <w:rFonts w:hint="eastAsia"/>
        </w:rPr>
        <w:t>R</w:t>
      </w:r>
      <w:r>
        <w:t>eferences</w:t>
      </w:r>
    </w:p>
    <w:p w14:paraId="1C96639B" w14:textId="660A2E56" w:rsidR="00101E47" w:rsidRDefault="008F2CEB" w:rsidP="00960786">
      <w:r>
        <w:rPr>
          <w:rFonts w:hint="eastAsia"/>
        </w:rPr>
        <w:t>[1]</w:t>
      </w:r>
      <w:r w:rsidR="00101E47">
        <w:tab/>
      </w:r>
      <w:r w:rsidR="00960786">
        <w:t>R4-2017487</w:t>
      </w:r>
      <w:r w:rsidR="00960786">
        <w:tab/>
      </w:r>
      <w:r w:rsidR="00960786" w:rsidRPr="00960786">
        <w:t>WF on IAB conformance work plan and specifications</w:t>
      </w:r>
      <w:r w:rsidR="00960786">
        <w:tab/>
        <w:t>Qualcomm</w:t>
      </w:r>
    </w:p>
    <w:p w14:paraId="682ECA0C" w14:textId="5929DF70" w:rsidR="00960786" w:rsidRDefault="00960786" w:rsidP="00960786">
      <w:r>
        <w:t>[2]</w:t>
      </w:r>
      <w:r>
        <w:tab/>
        <w:t>R4-2017491</w:t>
      </w:r>
      <w:r>
        <w:tab/>
      </w:r>
      <w:r w:rsidRPr="00960786">
        <w:t>WF on detail aspects on IAB conformance testing</w:t>
      </w:r>
      <w:r>
        <w:tab/>
        <w:t>Nokia</w:t>
      </w:r>
    </w:p>
    <w:p w14:paraId="6F670EA3" w14:textId="77777777" w:rsidR="00E35B86" w:rsidRDefault="00E35B86" w:rsidP="008F2CEB"/>
    <w:p w14:paraId="0E2015B9" w14:textId="77777777" w:rsidR="00E35B86" w:rsidRPr="00937AB6" w:rsidRDefault="00E35B86" w:rsidP="00E35B86"/>
    <w:sectPr w:rsidR="00E35B86" w:rsidRPr="00937AB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D3515" w14:textId="77777777" w:rsidR="0022720B" w:rsidRDefault="0022720B">
      <w:r>
        <w:separator/>
      </w:r>
    </w:p>
  </w:endnote>
  <w:endnote w:type="continuationSeparator" w:id="0">
    <w:p w14:paraId="6C243AC9" w14:textId="77777777" w:rsidR="0022720B" w:rsidRDefault="0022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A85C6" w14:textId="77777777" w:rsidR="0022720B" w:rsidRDefault="0022720B">
      <w:r>
        <w:separator/>
      </w:r>
    </w:p>
  </w:footnote>
  <w:footnote w:type="continuationSeparator" w:id="0">
    <w:p w14:paraId="556E8110" w14:textId="77777777" w:rsidR="0022720B" w:rsidRDefault="00227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EF313D"/>
    <w:multiLevelType w:val="hybridMultilevel"/>
    <w:tmpl w:val="5188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0276"/>
    <w:rsid w:val="000120F5"/>
    <w:rsid w:val="00012527"/>
    <w:rsid w:val="00015FBE"/>
    <w:rsid w:val="0002191D"/>
    <w:rsid w:val="000245B9"/>
    <w:rsid w:val="000266A0"/>
    <w:rsid w:val="00031C1D"/>
    <w:rsid w:val="000322CD"/>
    <w:rsid w:val="00034CE8"/>
    <w:rsid w:val="00036F4C"/>
    <w:rsid w:val="00043C74"/>
    <w:rsid w:val="00045D0D"/>
    <w:rsid w:val="00056887"/>
    <w:rsid w:val="00061ABC"/>
    <w:rsid w:val="000671EE"/>
    <w:rsid w:val="0007612B"/>
    <w:rsid w:val="00085221"/>
    <w:rsid w:val="00087F56"/>
    <w:rsid w:val="000925FA"/>
    <w:rsid w:val="00093E7E"/>
    <w:rsid w:val="000A7DD0"/>
    <w:rsid w:val="000B5956"/>
    <w:rsid w:val="000C435D"/>
    <w:rsid w:val="000C6E1F"/>
    <w:rsid w:val="000D435B"/>
    <w:rsid w:val="000D5B15"/>
    <w:rsid w:val="000D6CFC"/>
    <w:rsid w:val="000D7CB9"/>
    <w:rsid w:val="000E2B01"/>
    <w:rsid w:val="000E3591"/>
    <w:rsid w:val="000E51ED"/>
    <w:rsid w:val="00101B3D"/>
    <w:rsid w:val="00101E47"/>
    <w:rsid w:val="00103185"/>
    <w:rsid w:val="00103739"/>
    <w:rsid w:val="001044EF"/>
    <w:rsid w:val="001047B7"/>
    <w:rsid w:val="0010732A"/>
    <w:rsid w:val="001135DF"/>
    <w:rsid w:val="001208C3"/>
    <w:rsid w:val="001269BC"/>
    <w:rsid w:val="00135E83"/>
    <w:rsid w:val="00144609"/>
    <w:rsid w:val="00153528"/>
    <w:rsid w:val="001568A9"/>
    <w:rsid w:val="001604CD"/>
    <w:rsid w:val="00165F90"/>
    <w:rsid w:val="00171DF3"/>
    <w:rsid w:val="001761B2"/>
    <w:rsid w:val="001840BD"/>
    <w:rsid w:val="00191FD0"/>
    <w:rsid w:val="001A08AA"/>
    <w:rsid w:val="001A3120"/>
    <w:rsid w:val="001A51E3"/>
    <w:rsid w:val="001A7E04"/>
    <w:rsid w:val="001B256C"/>
    <w:rsid w:val="001B2F0C"/>
    <w:rsid w:val="001B306F"/>
    <w:rsid w:val="001B627A"/>
    <w:rsid w:val="001C3A35"/>
    <w:rsid w:val="001C53E5"/>
    <w:rsid w:val="001C5C71"/>
    <w:rsid w:val="001D5CCF"/>
    <w:rsid w:val="001D5E31"/>
    <w:rsid w:val="001D635C"/>
    <w:rsid w:val="001E135B"/>
    <w:rsid w:val="001E147E"/>
    <w:rsid w:val="001E2A02"/>
    <w:rsid w:val="0020694E"/>
    <w:rsid w:val="00212373"/>
    <w:rsid w:val="00212651"/>
    <w:rsid w:val="002138EA"/>
    <w:rsid w:val="00214FBD"/>
    <w:rsid w:val="00222897"/>
    <w:rsid w:val="00222F68"/>
    <w:rsid w:val="002266A4"/>
    <w:rsid w:val="0022720B"/>
    <w:rsid w:val="00233269"/>
    <w:rsid w:val="00234167"/>
    <w:rsid w:val="00235394"/>
    <w:rsid w:val="0023738A"/>
    <w:rsid w:val="002409F3"/>
    <w:rsid w:val="00253510"/>
    <w:rsid w:val="0025557B"/>
    <w:rsid w:val="00257D7D"/>
    <w:rsid w:val="00260FA5"/>
    <w:rsid w:val="002613BF"/>
    <w:rsid w:val="0026179F"/>
    <w:rsid w:val="00261D62"/>
    <w:rsid w:val="0026770B"/>
    <w:rsid w:val="00274E1A"/>
    <w:rsid w:val="00275C58"/>
    <w:rsid w:val="0027731D"/>
    <w:rsid w:val="002806BB"/>
    <w:rsid w:val="00282213"/>
    <w:rsid w:val="00285262"/>
    <w:rsid w:val="00287385"/>
    <w:rsid w:val="0028752F"/>
    <w:rsid w:val="0029016E"/>
    <w:rsid w:val="00292219"/>
    <w:rsid w:val="00297F52"/>
    <w:rsid w:val="002A0E9C"/>
    <w:rsid w:val="002C1ACE"/>
    <w:rsid w:val="002C6647"/>
    <w:rsid w:val="002D64B4"/>
    <w:rsid w:val="002E7C37"/>
    <w:rsid w:val="002F4093"/>
    <w:rsid w:val="003076EE"/>
    <w:rsid w:val="00307EEA"/>
    <w:rsid w:val="00307FE3"/>
    <w:rsid w:val="0031003E"/>
    <w:rsid w:val="00312074"/>
    <w:rsid w:val="00324C71"/>
    <w:rsid w:val="003252D8"/>
    <w:rsid w:val="00327A96"/>
    <w:rsid w:val="0033563F"/>
    <w:rsid w:val="0034188A"/>
    <w:rsid w:val="00342E32"/>
    <w:rsid w:val="003450C4"/>
    <w:rsid w:val="003473D0"/>
    <w:rsid w:val="00352B40"/>
    <w:rsid w:val="003547E6"/>
    <w:rsid w:val="00356B59"/>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3F7F43"/>
    <w:rsid w:val="004104BD"/>
    <w:rsid w:val="00416DA7"/>
    <w:rsid w:val="004219AB"/>
    <w:rsid w:val="00425DC9"/>
    <w:rsid w:val="00430980"/>
    <w:rsid w:val="00430BDE"/>
    <w:rsid w:val="00430CB6"/>
    <w:rsid w:val="00440BB1"/>
    <w:rsid w:val="00444225"/>
    <w:rsid w:val="00450ADA"/>
    <w:rsid w:val="004836DA"/>
    <w:rsid w:val="00486547"/>
    <w:rsid w:val="00494025"/>
    <w:rsid w:val="004A17C7"/>
    <w:rsid w:val="004B3A0A"/>
    <w:rsid w:val="004B5C8E"/>
    <w:rsid w:val="004B73DB"/>
    <w:rsid w:val="004B7CAC"/>
    <w:rsid w:val="004C3CE5"/>
    <w:rsid w:val="004C4342"/>
    <w:rsid w:val="004D4F95"/>
    <w:rsid w:val="004D71B0"/>
    <w:rsid w:val="004D7A3C"/>
    <w:rsid w:val="004E69A2"/>
    <w:rsid w:val="004F7A3D"/>
    <w:rsid w:val="00500ADB"/>
    <w:rsid w:val="00505BFA"/>
    <w:rsid w:val="00505F46"/>
    <w:rsid w:val="00513582"/>
    <w:rsid w:val="00517471"/>
    <w:rsid w:val="00522E0F"/>
    <w:rsid w:val="00542158"/>
    <w:rsid w:val="005421E4"/>
    <w:rsid w:val="005425EF"/>
    <w:rsid w:val="005530AA"/>
    <w:rsid w:val="005602A1"/>
    <w:rsid w:val="00573894"/>
    <w:rsid w:val="00574154"/>
    <w:rsid w:val="00583B03"/>
    <w:rsid w:val="005858AA"/>
    <w:rsid w:val="00595980"/>
    <w:rsid w:val="005B0171"/>
    <w:rsid w:val="005B138A"/>
    <w:rsid w:val="005B2E18"/>
    <w:rsid w:val="005C33E9"/>
    <w:rsid w:val="005C7E21"/>
    <w:rsid w:val="005D1D8B"/>
    <w:rsid w:val="005E3BCA"/>
    <w:rsid w:val="005F2A5D"/>
    <w:rsid w:val="005F4883"/>
    <w:rsid w:val="0060601D"/>
    <w:rsid w:val="006073B3"/>
    <w:rsid w:val="00613DE1"/>
    <w:rsid w:val="00614C3C"/>
    <w:rsid w:val="00616806"/>
    <w:rsid w:val="00620DBC"/>
    <w:rsid w:val="0062377C"/>
    <w:rsid w:val="0062730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6B15"/>
    <w:rsid w:val="006B7184"/>
    <w:rsid w:val="006C1D31"/>
    <w:rsid w:val="006D2CB3"/>
    <w:rsid w:val="006D344E"/>
    <w:rsid w:val="006D3D53"/>
    <w:rsid w:val="006F0084"/>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4776"/>
    <w:rsid w:val="007552FB"/>
    <w:rsid w:val="007651E3"/>
    <w:rsid w:val="00766A77"/>
    <w:rsid w:val="0078144D"/>
    <w:rsid w:val="00793BA1"/>
    <w:rsid w:val="00794277"/>
    <w:rsid w:val="007A2797"/>
    <w:rsid w:val="007A72E9"/>
    <w:rsid w:val="007A794E"/>
    <w:rsid w:val="007B0279"/>
    <w:rsid w:val="007B6162"/>
    <w:rsid w:val="007B6D18"/>
    <w:rsid w:val="007B6D70"/>
    <w:rsid w:val="007C1BCF"/>
    <w:rsid w:val="007C2BC8"/>
    <w:rsid w:val="007D453A"/>
    <w:rsid w:val="007D6048"/>
    <w:rsid w:val="007D6E3D"/>
    <w:rsid w:val="007E2875"/>
    <w:rsid w:val="007E376C"/>
    <w:rsid w:val="007E54CD"/>
    <w:rsid w:val="007E59AE"/>
    <w:rsid w:val="007E6A3B"/>
    <w:rsid w:val="007F055F"/>
    <w:rsid w:val="007F0E1E"/>
    <w:rsid w:val="007F1CE7"/>
    <w:rsid w:val="007F4253"/>
    <w:rsid w:val="007F6103"/>
    <w:rsid w:val="007F62EA"/>
    <w:rsid w:val="00803F95"/>
    <w:rsid w:val="0080503F"/>
    <w:rsid w:val="00812D42"/>
    <w:rsid w:val="008165EB"/>
    <w:rsid w:val="008239B4"/>
    <w:rsid w:val="00823E1D"/>
    <w:rsid w:val="00832EC2"/>
    <w:rsid w:val="00836C44"/>
    <w:rsid w:val="00844063"/>
    <w:rsid w:val="00853E16"/>
    <w:rsid w:val="00861C93"/>
    <w:rsid w:val="00867FC7"/>
    <w:rsid w:val="008717AB"/>
    <w:rsid w:val="00873725"/>
    <w:rsid w:val="00885CD1"/>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0686B"/>
    <w:rsid w:val="00911FD0"/>
    <w:rsid w:val="0092124A"/>
    <w:rsid w:val="00921A7A"/>
    <w:rsid w:val="00922F2C"/>
    <w:rsid w:val="009246C1"/>
    <w:rsid w:val="009250A3"/>
    <w:rsid w:val="00927470"/>
    <w:rsid w:val="00931702"/>
    <w:rsid w:val="00931F09"/>
    <w:rsid w:val="0093235B"/>
    <w:rsid w:val="00937AB6"/>
    <w:rsid w:val="00940B14"/>
    <w:rsid w:val="00946169"/>
    <w:rsid w:val="00951AE4"/>
    <w:rsid w:val="00952FA0"/>
    <w:rsid w:val="0095460F"/>
    <w:rsid w:val="00960786"/>
    <w:rsid w:val="00961F97"/>
    <w:rsid w:val="00967828"/>
    <w:rsid w:val="00970A09"/>
    <w:rsid w:val="00971D9F"/>
    <w:rsid w:val="00976C55"/>
    <w:rsid w:val="00980247"/>
    <w:rsid w:val="00983910"/>
    <w:rsid w:val="0098598B"/>
    <w:rsid w:val="009868CB"/>
    <w:rsid w:val="00986C06"/>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E3E8E"/>
    <w:rsid w:val="009F180A"/>
    <w:rsid w:val="009F5663"/>
    <w:rsid w:val="009F5923"/>
    <w:rsid w:val="009F65F1"/>
    <w:rsid w:val="009F6754"/>
    <w:rsid w:val="009F6FF1"/>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4D77"/>
    <w:rsid w:val="00A85DBC"/>
    <w:rsid w:val="00A9364F"/>
    <w:rsid w:val="00A96C36"/>
    <w:rsid w:val="00AA1ACA"/>
    <w:rsid w:val="00AA5DED"/>
    <w:rsid w:val="00AB3F85"/>
    <w:rsid w:val="00AC694F"/>
    <w:rsid w:val="00AD091A"/>
    <w:rsid w:val="00AD44E4"/>
    <w:rsid w:val="00AD6C47"/>
    <w:rsid w:val="00AD6E1C"/>
    <w:rsid w:val="00AD7B11"/>
    <w:rsid w:val="00AE5E8E"/>
    <w:rsid w:val="00AE64B3"/>
    <w:rsid w:val="00AE6BBA"/>
    <w:rsid w:val="00AE778F"/>
    <w:rsid w:val="00AF3220"/>
    <w:rsid w:val="00AF5F7E"/>
    <w:rsid w:val="00B12D97"/>
    <w:rsid w:val="00B159D5"/>
    <w:rsid w:val="00B21114"/>
    <w:rsid w:val="00B21530"/>
    <w:rsid w:val="00B250A2"/>
    <w:rsid w:val="00B25DE0"/>
    <w:rsid w:val="00B26517"/>
    <w:rsid w:val="00B306F1"/>
    <w:rsid w:val="00B350C7"/>
    <w:rsid w:val="00B373D3"/>
    <w:rsid w:val="00B43095"/>
    <w:rsid w:val="00B438D5"/>
    <w:rsid w:val="00B53FE2"/>
    <w:rsid w:val="00B579B9"/>
    <w:rsid w:val="00B65641"/>
    <w:rsid w:val="00B663E1"/>
    <w:rsid w:val="00B72448"/>
    <w:rsid w:val="00B72691"/>
    <w:rsid w:val="00B746E7"/>
    <w:rsid w:val="00B75969"/>
    <w:rsid w:val="00B8446C"/>
    <w:rsid w:val="00B8514D"/>
    <w:rsid w:val="00B85CA4"/>
    <w:rsid w:val="00B96A86"/>
    <w:rsid w:val="00BA3EC1"/>
    <w:rsid w:val="00BA5F87"/>
    <w:rsid w:val="00BA723E"/>
    <w:rsid w:val="00BA7A28"/>
    <w:rsid w:val="00BB1E7F"/>
    <w:rsid w:val="00BB63C0"/>
    <w:rsid w:val="00BB66E0"/>
    <w:rsid w:val="00BC26F2"/>
    <w:rsid w:val="00BC2BF0"/>
    <w:rsid w:val="00BC47D8"/>
    <w:rsid w:val="00BC6C92"/>
    <w:rsid w:val="00BC6CCE"/>
    <w:rsid w:val="00BD2839"/>
    <w:rsid w:val="00BD3E1D"/>
    <w:rsid w:val="00BD6420"/>
    <w:rsid w:val="00BD79F5"/>
    <w:rsid w:val="00BF52AB"/>
    <w:rsid w:val="00C03D6B"/>
    <w:rsid w:val="00C16C39"/>
    <w:rsid w:val="00C24B2F"/>
    <w:rsid w:val="00C27797"/>
    <w:rsid w:val="00C3068F"/>
    <w:rsid w:val="00C33600"/>
    <w:rsid w:val="00C34B0C"/>
    <w:rsid w:val="00C37EA9"/>
    <w:rsid w:val="00C43C6E"/>
    <w:rsid w:val="00C51828"/>
    <w:rsid w:val="00C54F16"/>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25B3"/>
    <w:rsid w:val="00D64225"/>
    <w:rsid w:val="00D70D53"/>
    <w:rsid w:val="00D72BC9"/>
    <w:rsid w:val="00D7345D"/>
    <w:rsid w:val="00D73C0E"/>
    <w:rsid w:val="00D74450"/>
    <w:rsid w:val="00D756B6"/>
    <w:rsid w:val="00D850F1"/>
    <w:rsid w:val="00D8669A"/>
    <w:rsid w:val="00D873AC"/>
    <w:rsid w:val="00D91919"/>
    <w:rsid w:val="00D92040"/>
    <w:rsid w:val="00D92FE0"/>
    <w:rsid w:val="00D96A32"/>
    <w:rsid w:val="00DA0F3D"/>
    <w:rsid w:val="00DC0640"/>
    <w:rsid w:val="00DC462F"/>
    <w:rsid w:val="00DD0C2C"/>
    <w:rsid w:val="00DF7083"/>
    <w:rsid w:val="00E0075C"/>
    <w:rsid w:val="00E12EB7"/>
    <w:rsid w:val="00E13055"/>
    <w:rsid w:val="00E13A4A"/>
    <w:rsid w:val="00E21E55"/>
    <w:rsid w:val="00E24717"/>
    <w:rsid w:val="00E24AA8"/>
    <w:rsid w:val="00E24FE0"/>
    <w:rsid w:val="00E25C05"/>
    <w:rsid w:val="00E31856"/>
    <w:rsid w:val="00E3585D"/>
    <w:rsid w:val="00E35B86"/>
    <w:rsid w:val="00E417C4"/>
    <w:rsid w:val="00E510D4"/>
    <w:rsid w:val="00E52F3B"/>
    <w:rsid w:val="00E55ABC"/>
    <w:rsid w:val="00E57B74"/>
    <w:rsid w:val="00E64E0F"/>
    <w:rsid w:val="00E677DC"/>
    <w:rsid w:val="00E72D9D"/>
    <w:rsid w:val="00E73A60"/>
    <w:rsid w:val="00E7400D"/>
    <w:rsid w:val="00E7697D"/>
    <w:rsid w:val="00E77A9C"/>
    <w:rsid w:val="00E8629F"/>
    <w:rsid w:val="00E86532"/>
    <w:rsid w:val="00E8690F"/>
    <w:rsid w:val="00E90178"/>
    <w:rsid w:val="00E90F8C"/>
    <w:rsid w:val="00E96009"/>
    <w:rsid w:val="00E96535"/>
    <w:rsid w:val="00EA3C24"/>
    <w:rsid w:val="00EB37D2"/>
    <w:rsid w:val="00EB3BDE"/>
    <w:rsid w:val="00EB5789"/>
    <w:rsid w:val="00EC0173"/>
    <w:rsid w:val="00EC1246"/>
    <w:rsid w:val="00EC49B6"/>
    <w:rsid w:val="00ED04DF"/>
    <w:rsid w:val="00ED19F9"/>
    <w:rsid w:val="00ED4C83"/>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77497"/>
    <w:rsid w:val="00F821F0"/>
    <w:rsid w:val="00F85286"/>
    <w:rsid w:val="00F859B5"/>
    <w:rsid w:val="00F90199"/>
    <w:rsid w:val="00F91D25"/>
    <w:rsid w:val="00FA2132"/>
    <w:rsid w:val="00FB7064"/>
    <w:rsid w:val="00FC051F"/>
    <w:rsid w:val="00FC2177"/>
    <w:rsid w:val="00FC5E1A"/>
    <w:rsid w:val="00FD37BF"/>
    <w:rsid w:val="00FD4B53"/>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B02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2526">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58988227">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65568443">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597058632">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46139942">
      <w:bodyDiv w:val="1"/>
      <w:marLeft w:val="0"/>
      <w:marRight w:val="0"/>
      <w:marTop w:val="0"/>
      <w:marBottom w:val="0"/>
      <w:divBdr>
        <w:top w:val="none" w:sz="0" w:space="0" w:color="auto"/>
        <w:left w:val="none" w:sz="0" w:space="0" w:color="auto"/>
        <w:bottom w:val="none" w:sz="0" w:space="0" w:color="auto"/>
        <w:right w:val="none" w:sz="0" w:space="0" w:color="auto"/>
      </w:divBdr>
    </w:div>
    <w:div w:id="847981442">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08057861">
      <w:bodyDiv w:val="1"/>
      <w:marLeft w:val="0"/>
      <w:marRight w:val="0"/>
      <w:marTop w:val="0"/>
      <w:marBottom w:val="0"/>
      <w:divBdr>
        <w:top w:val="none" w:sz="0" w:space="0" w:color="auto"/>
        <w:left w:val="none" w:sz="0" w:space="0" w:color="auto"/>
        <w:bottom w:val="none" w:sz="0" w:space="0" w:color="auto"/>
        <w:right w:val="none" w:sz="0" w:space="0" w:color="auto"/>
      </w:divBdr>
    </w:div>
    <w:div w:id="1545558260">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86142966">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44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4B12E-3811-4231-9F1E-8FB0A11DB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10547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2021-01-15T17:14:00Z</dcterms:created>
  <dcterms:modified xsi:type="dcterms:W3CDTF">2021-01-15T17:14:00Z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